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4BD" w:rsidRPr="00592AB7" w:rsidRDefault="00722657" w:rsidP="00592AB7">
      <w:pPr>
        <w:tabs>
          <w:tab w:val="left" w:pos="8364"/>
        </w:tabs>
        <w:spacing w:line="240" w:lineRule="auto"/>
        <w:ind w:left="1" w:hanging="3"/>
        <w:jc w:val="center"/>
        <w:rPr>
          <w:rFonts w:ascii="Constantia" w:eastAsia="Constantia" w:hAnsi="Constantia" w:cs="Constantia"/>
          <w:b/>
          <w:sz w:val="28"/>
          <w:szCs w:val="28"/>
          <w:lang w:val="id-ID"/>
        </w:rPr>
      </w:pPr>
      <w:r w:rsidRPr="00592AB7">
        <w:rPr>
          <w:rFonts w:ascii="Constantia" w:eastAsia="Constantia" w:hAnsi="Constantia" w:cs="Constantia"/>
          <w:b/>
          <w:sz w:val="28"/>
          <w:szCs w:val="28"/>
          <w:lang w:val="id-ID"/>
        </w:rPr>
        <w:t>I</w:t>
      </w:r>
      <w:r w:rsidRPr="00592AB7">
        <w:rPr>
          <w:rFonts w:ascii="Constantia" w:hAnsi="Constantia"/>
          <w:b/>
          <w:sz w:val="28"/>
          <w:szCs w:val="28"/>
        </w:rPr>
        <w:t>ntegrasi Mazhab Fikih dalam Pembentukan Fatwa MUI: Studi Analisis terhadap Keputusan Fatwa Kontemporer</w:t>
      </w:r>
    </w:p>
    <w:p w:rsidR="001A74BD" w:rsidRPr="00592AB7" w:rsidRDefault="001A74BD" w:rsidP="008B2583">
      <w:pPr>
        <w:tabs>
          <w:tab w:val="left" w:pos="8364"/>
        </w:tabs>
        <w:spacing w:line="240" w:lineRule="auto"/>
        <w:ind w:left="0" w:hanging="2"/>
        <w:jc w:val="center"/>
        <w:rPr>
          <w:rFonts w:ascii="Constantia" w:eastAsia="Constantia" w:hAnsi="Constantia" w:cs="Constantia"/>
          <w:sz w:val="24"/>
          <w:szCs w:val="24"/>
        </w:rPr>
      </w:pPr>
    </w:p>
    <w:p w:rsidR="001A74BD" w:rsidRPr="00592AB7" w:rsidRDefault="001A74BD" w:rsidP="008B2583">
      <w:pPr>
        <w:tabs>
          <w:tab w:val="left" w:pos="8364"/>
        </w:tabs>
        <w:spacing w:line="240" w:lineRule="auto"/>
        <w:ind w:left="0" w:hanging="2"/>
        <w:jc w:val="left"/>
        <w:rPr>
          <w:rFonts w:ascii="Constantia" w:eastAsia="Constantia" w:hAnsi="Constantia" w:cs="Constantia"/>
          <w:sz w:val="24"/>
          <w:szCs w:val="24"/>
        </w:rPr>
      </w:pPr>
      <w:bookmarkStart w:id="0" w:name="_GoBack"/>
      <w:bookmarkEnd w:id="0"/>
    </w:p>
    <w:p w:rsidR="00D00A27" w:rsidRPr="00592AB7" w:rsidRDefault="00D00A27" w:rsidP="008B2583">
      <w:pPr>
        <w:tabs>
          <w:tab w:val="left" w:pos="8364"/>
        </w:tabs>
        <w:spacing w:line="240" w:lineRule="auto"/>
        <w:ind w:left="0" w:hanging="2"/>
        <w:jc w:val="center"/>
        <w:rPr>
          <w:rFonts w:ascii="Constantia" w:eastAsia="Constantia" w:hAnsi="Constantia" w:cs="Constantia"/>
          <w:b/>
          <w:sz w:val="24"/>
          <w:szCs w:val="24"/>
          <w:lang w:val="id-ID"/>
        </w:rPr>
      </w:pPr>
      <w:r w:rsidRPr="00592AB7">
        <w:rPr>
          <w:rFonts w:ascii="Constantia" w:eastAsia="Constantia" w:hAnsi="Constantia" w:cs="Constantia"/>
          <w:b/>
          <w:sz w:val="24"/>
          <w:szCs w:val="24"/>
          <w:lang w:val="id-ID"/>
        </w:rPr>
        <w:t>Nurul Ainiyah</w:t>
      </w:r>
    </w:p>
    <w:p w:rsidR="001A74BD" w:rsidRPr="00592AB7" w:rsidRDefault="00CC2B06" w:rsidP="008B2583">
      <w:pPr>
        <w:tabs>
          <w:tab w:val="left" w:pos="8364"/>
        </w:tabs>
        <w:spacing w:line="240" w:lineRule="auto"/>
        <w:ind w:left="0" w:hanging="2"/>
        <w:jc w:val="center"/>
        <w:rPr>
          <w:rFonts w:ascii="Constantia" w:eastAsia="Constantia" w:hAnsi="Constantia" w:cs="Constantia"/>
          <w:sz w:val="24"/>
          <w:szCs w:val="24"/>
          <w:lang w:val="id-ID"/>
        </w:rPr>
      </w:pPr>
      <w:r w:rsidRPr="00592AB7">
        <w:rPr>
          <w:rFonts w:ascii="Constantia" w:eastAsia="Constantia" w:hAnsi="Constantia" w:cs="Constantia"/>
          <w:sz w:val="24"/>
          <w:szCs w:val="24"/>
          <w:lang w:val="id-ID"/>
        </w:rPr>
        <w:t>STAI Darul Ulum</w:t>
      </w:r>
    </w:p>
    <w:p w:rsidR="001A74BD" w:rsidRPr="00592AB7" w:rsidRDefault="00BE477C" w:rsidP="008B2583">
      <w:pPr>
        <w:tabs>
          <w:tab w:val="left" w:pos="8364"/>
        </w:tabs>
        <w:spacing w:line="240" w:lineRule="auto"/>
        <w:ind w:left="0" w:hanging="2"/>
        <w:jc w:val="center"/>
        <w:rPr>
          <w:rFonts w:ascii="Constantia" w:eastAsia="Constantia" w:hAnsi="Constantia" w:cs="Constantia"/>
          <w:sz w:val="24"/>
          <w:szCs w:val="24"/>
          <w:lang w:val="id-ID"/>
        </w:rPr>
      </w:pPr>
      <w:hyperlink r:id="rId8" w:history="1">
        <w:r w:rsidR="00CC2B06" w:rsidRPr="00592AB7">
          <w:rPr>
            <w:rStyle w:val="Hyperlink"/>
            <w:rFonts w:ascii="Constantia" w:eastAsia="Constantia" w:hAnsi="Constantia" w:cs="Constantia"/>
            <w:sz w:val="24"/>
            <w:szCs w:val="24"/>
            <w:lang w:val="id-ID"/>
          </w:rPr>
          <w:t>nurulainiyahnanasbirru</w:t>
        </w:r>
        <w:r w:rsidR="00CC2B06" w:rsidRPr="00592AB7">
          <w:rPr>
            <w:rStyle w:val="Hyperlink"/>
            <w:rFonts w:ascii="Constantia" w:eastAsia="Constantia" w:hAnsi="Constantia" w:cs="Constantia"/>
            <w:sz w:val="24"/>
            <w:szCs w:val="24"/>
          </w:rPr>
          <w:t>@gmail.com</w:t>
        </w:r>
      </w:hyperlink>
    </w:p>
    <w:p w:rsidR="001A74BD" w:rsidRPr="00592AB7" w:rsidRDefault="001A74BD" w:rsidP="008B2583">
      <w:pPr>
        <w:spacing w:line="240" w:lineRule="auto"/>
        <w:ind w:left="0" w:hanging="2"/>
        <w:jc w:val="center"/>
        <w:rPr>
          <w:rFonts w:ascii="Constantia" w:eastAsia="Constantia" w:hAnsi="Constantia" w:cs="Constantia"/>
          <w:color w:val="000000"/>
          <w:sz w:val="24"/>
          <w:szCs w:val="24"/>
        </w:rPr>
      </w:pPr>
    </w:p>
    <w:p w:rsidR="001A74BD" w:rsidRPr="00592AB7" w:rsidRDefault="001A74BD" w:rsidP="008B2583">
      <w:pPr>
        <w:tabs>
          <w:tab w:val="left" w:pos="8364"/>
        </w:tabs>
        <w:spacing w:line="240" w:lineRule="auto"/>
        <w:ind w:left="0" w:hanging="2"/>
        <w:jc w:val="center"/>
        <w:rPr>
          <w:rFonts w:ascii="Constantia" w:eastAsia="Constantia" w:hAnsi="Constantia" w:cs="Constantia"/>
          <w:sz w:val="24"/>
          <w:szCs w:val="24"/>
        </w:rPr>
      </w:pPr>
    </w:p>
    <w:p w:rsidR="00722657" w:rsidRPr="00592AB7" w:rsidRDefault="00722657" w:rsidP="00722657">
      <w:pPr>
        <w:ind w:left="0" w:hanging="2"/>
        <w:jc w:val="both"/>
        <w:rPr>
          <w:rFonts w:ascii="Constantia" w:eastAsia="Constantia" w:hAnsi="Constantia" w:cs="Constantia"/>
          <w:b/>
          <w:sz w:val="24"/>
          <w:szCs w:val="24"/>
          <w:lang w:val="id-ID"/>
        </w:rPr>
      </w:pPr>
    </w:p>
    <w:p w:rsidR="00722657" w:rsidRPr="00592AB7" w:rsidRDefault="00722657" w:rsidP="009B5A0F">
      <w:pPr>
        <w:ind w:left="0" w:hanging="2"/>
        <w:jc w:val="both"/>
        <w:rPr>
          <w:rFonts w:ascii="Constantia" w:hAnsi="Constantia"/>
          <w:sz w:val="24"/>
          <w:szCs w:val="24"/>
          <w:lang w:val="id-ID"/>
        </w:rPr>
      </w:pPr>
      <w:r w:rsidRPr="00592AB7">
        <w:rPr>
          <w:rFonts w:ascii="Constantia" w:hAnsi="Constantia"/>
          <w:b/>
          <w:sz w:val="24"/>
          <w:szCs w:val="24"/>
          <w:lang w:val="id-ID"/>
        </w:rPr>
        <w:t>Abstrak:</w:t>
      </w:r>
      <w:r w:rsidRPr="00592AB7">
        <w:rPr>
          <w:rFonts w:ascii="Constantia" w:hAnsi="Constantia"/>
          <w:sz w:val="24"/>
          <w:szCs w:val="24"/>
          <w:lang w:val="id-ID"/>
        </w:rPr>
        <w:t xml:space="preserve"> </w:t>
      </w:r>
      <w:r w:rsidRPr="00592AB7">
        <w:rPr>
          <w:rFonts w:ascii="Constantia" w:hAnsi="Constantia"/>
          <w:sz w:val="24"/>
          <w:szCs w:val="24"/>
        </w:rPr>
        <w:t>Majelis Ulama Indonesia (MUI) sebagai otoritas keagamaan memainkan peran strategis dalam merumuskan fatwa yang menjawab persoalan-persoalan kontemporer umat Islam di Indonesia. Penelitian ini bertujuan untuk menganalisis bagaimana integrasi mazhab fikih diterapkan dalam proses pembentukan fatwa MUI, khususnya dalam menghadapi isu-isu aktual yang menuntut pendekatan hukum Islam yang kontekstual dan inklusif. Dengan menggunakan metode kualitatif dan analisis isi terhadap sejumlah fatwa MUI dekade terakhir, studi ini menemukan bahwa MUI mengadopsi pendekatan epistemologis eklektik yang menggabungkan metode bayani (tekstual), burhani (rasional), dan irfani (intuisi spiritual). Pendekatan ini memungkinkan MUI untuk merumuskan fatwa yang tidak hanya berlandaskan pada mazhab Syafi’i sebagai tradisi dominan, tetapi juga membuka ruang bagi pendapat mazhab lain seperti Hanafi, Maliki, dan Hanbali, sesuai dengan prinsip maqashid syariah, maslahah, dan 'urf lokal. Temuan ini menunjukkan bahwa praktik ijtihad kolektif MUI memperkaya khazanah hukum Islam di Indonesia, namun juga menghadapi tantangan dalam menyelaraskan keragaman metodologi dan otoritas keilmuan. Penelitian ini merekomendasikan penguatan kerangka kerja epistemologis yang sistematis dan transparan dalam proses penetapan fatwa, guna meningkatkan legitimasi dan keberterimaan fatwa di tengah masyarakat multikultural.</w:t>
      </w:r>
    </w:p>
    <w:p w:rsidR="00722657" w:rsidRPr="00592AB7" w:rsidRDefault="00722657" w:rsidP="00722657">
      <w:pPr>
        <w:ind w:left="0" w:hanging="2"/>
        <w:jc w:val="both"/>
        <w:rPr>
          <w:rStyle w:val="Strong"/>
          <w:rFonts w:ascii="Constantia" w:hAnsi="Constantia"/>
          <w:b w:val="0"/>
          <w:sz w:val="24"/>
          <w:szCs w:val="24"/>
          <w:lang w:val="id-ID"/>
        </w:rPr>
      </w:pPr>
      <w:r w:rsidRPr="00592AB7">
        <w:rPr>
          <w:rFonts w:ascii="Constantia" w:hAnsi="Constantia"/>
          <w:b/>
          <w:sz w:val="24"/>
          <w:szCs w:val="24"/>
          <w:lang w:val="id-ID"/>
        </w:rPr>
        <w:t>Kata Kunci:</w:t>
      </w:r>
      <w:r w:rsidRPr="00592AB7">
        <w:rPr>
          <w:rFonts w:ascii="Constantia" w:hAnsi="Constantia"/>
          <w:sz w:val="24"/>
          <w:szCs w:val="24"/>
          <w:lang w:val="id-ID"/>
        </w:rPr>
        <w:t xml:space="preserve"> </w:t>
      </w:r>
      <w:r w:rsidRPr="00592AB7">
        <w:rPr>
          <w:rStyle w:val="Strong"/>
          <w:rFonts w:ascii="Constantia" w:hAnsi="Constantia"/>
          <w:b w:val="0"/>
          <w:sz w:val="24"/>
          <w:szCs w:val="24"/>
        </w:rPr>
        <w:t>Fatwa MUI</w:t>
      </w:r>
      <w:r w:rsidRPr="00592AB7">
        <w:rPr>
          <w:rFonts w:ascii="Constantia" w:hAnsi="Constantia"/>
          <w:b/>
          <w:sz w:val="24"/>
          <w:szCs w:val="24"/>
          <w:lang w:val="id-ID"/>
        </w:rPr>
        <w:t xml:space="preserve">, </w:t>
      </w:r>
      <w:r w:rsidRPr="00592AB7">
        <w:rPr>
          <w:rStyle w:val="Strong"/>
          <w:rFonts w:ascii="Constantia" w:hAnsi="Constantia"/>
          <w:b w:val="0"/>
          <w:sz w:val="24"/>
          <w:szCs w:val="24"/>
        </w:rPr>
        <w:t>Integrasi Mazhab Fikih</w:t>
      </w:r>
      <w:r w:rsidRPr="00592AB7">
        <w:rPr>
          <w:rFonts w:ascii="Constantia" w:hAnsi="Constantia"/>
          <w:b/>
          <w:sz w:val="24"/>
          <w:szCs w:val="24"/>
          <w:lang w:val="id-ID"/>
        </w:rPr>
        <w:t xml:space="preserve">, </w:t>
      </w:r>
      <w:r w:rsidRPr="00592AB7">
        <w:rPr>
          <w:rStyle w:val="Strong"/>
          <w:rFonts w:ascii="Constantia" w:hAnsi="Constantia"/>
          <w:b w:val="0"/>
          <w:sz w:val="24"/>
          <w:szCs w:val="24"/>
        </w:rPr>
        <w:t>Ijtihad Kolekti</w:t>
      </w:r>
      <w:r w:rsidRPr="00592AB7">
        <w:rPr>
          <w:rStyle w:val="Strong"/>
          <w:rFonts w:ascii="Constantia" w:hAnsi="Constantia"/>
          <w:b w:val="0"/>
          <w:sz w:val="24"/>
          <w:szCs w:val="24"/>
          <w:lang w:val="id-ID"/>
        </w:rPr>
        <w:t>f</w:t>
      </w:r>
    </w:p>
    <w:p w:rsidR="009B5A0F" w:rsidRPr="00592AB7" w:rsidRDefault="009B5A0F" w:rsidP="00722657">
      <w:pPr>
        <w:ind w:left="0" w:hanging="2"/>
        <w:jc w:val="both"/>
        <w:rPr>
          <w:rStyle w:val="Strong"/>
          <w:rFonts w:ascii="Constantia" w:hAnsi="Constantia"/>
          <w:b w:val="0"/>
          <w:sz w:val="24"/>
          <w:szCs w:val="24"/>
          <w:lang w:val="id-ID"/>
        </w:rPr>
      </w:pPr>
    </w:p>
    <w:p w:rsidR="00722657" w:rsidRPr="00592AB7" w:rsidRDefault="00722657" w:rsidP="00722657">
      <w:pPr>
        <w:ind w:left="0" w:hanging="2"/>
        <w:jc w:val="both"/>
        <w:rPr>
          <w:rFonts w:ascii="Constantia" w:hAnsi="Constantia"/>
          <w:sz w:val="24"/>
          <w:szCs w:val="24"/>
          <w:lang w:val="id-ID"/>
        </w:rPr>
      </w:pPr>
      <w:r w:rsidRPr="00592AB7">
        <w:rPr>
          <w:rFonts w:ascii="Constantia" w:eastAsia="Constantia" w:hAnsi="Constantia" w:cs="Constantia"/>
          <w:b/>
          <w:sz w:val="24"/>
          <w:szCs w:val="24"/>
        </w:rPr>
        <w:t>Abstract</w:t>
      </w:r>
      <w:r w:rsidRPr="00592AB7">
        <w:rPr>
          <w:rFonts w:ascii="Constantia" w:hAnsi="Constantia"/>
          <w:sz w:val="24"/>
          <w:szCs w:val="24"/>
          <w:lang w:val="id-ID"/>
        </w:rPr>
        <w:t xml:space="preserve">: </w:t>
      </w:r>
      <w:r w:rsidRPr="00592AB7">
        <w:rPr>
          <w:rFonts w:ascii="Constantia" w:hAnsi="Constantia"/>
          <w:sz w:val="24"/>
          <w:szCs w:val="24"/>
        </w:rPr>
        <w:t xml:space="preserve">The Indonesian Ulema Council (MUI), as a religious authority, plays a strategic role in formulating fatwas that address contemporary issues facing Muslims in Indonesia. This study aims to analyze how the integration of Islamic jurisprudence schools is applied in the MUI's fatwa-making process, particularly in addressing current issues that demand a contextual and inclusive approach to Islamic law. Using qualitative methods and content analysis of several MUI fatwas from the past decade, this study finds that the MUI adopts an eclectic epistemological approach that combines bayani (textual), burhani (rational), and irfani (spiritual intuition) methods. This approach allows the MUI to formulate fatwas that are not solely based on the Shafi'i school of thought as the dominant tradition, but also open up space for the opinions of other schools of thought, such as the Hanafi, Maliki, and Hanbali schools, in accordance with the principles of maqashid sharia, maslahah, and local 'urf. These findings indicate that the MUI's </w:t>
      </w:r>
      <w:r w:rsidRPr="00592AB7">
        <w:rPr>
          <w:rFonts w:ascii="Constantia" w:hAnsi="Constantia"/>
          <w:sz w:val="24"/>
          <w:szCs w:val="24"/>
        </w:rPr>
        <w:lastRenderedPageBreak/>
        <w:t>collective ijtihad practice enriches the treasury of Islamic law in Indonesia, but also faces challenges in harmonizing diverse methodologies and scholarly authorities. This study recommends strengthening a systematic and transparent epistemological framework in the fatwa-issuing process to increase the legitimacy and acceptability of fatwas in a multicultural society.</w:t>
      </w:r>
    </w:p>
    <w:p w:rsidR="00722657" w:rsidRPr="00592AB7" w:rsidRDefault="00722657" w:rsidP="00722657">
      <w:pPr>
        <w:ind w:left="0" w:hanging="2"/>
        <w:jc w:val="both"/>
        <w:rPr>
          <w:rFonts w:ascii="Constantia" w:hAnsi="Constantia"/>
          <w:sz w:val="24"/>
          <w:szCs w:val="24"/>
          <w:lang w:val="id-ID"/>
        </w:rPr>
      </w:pPr>
      <w:r w:rsidRPr="00592AB7">
        <w:rPr>
          <w:rFonts w:ascii="Constantia" w:hAnsi="Constantia"/>
          <w:b/>
          <w:sz w:val="24"/>
          <w:szCs w:val="24"/>
        </w:rPr>
        <w:t>Keywords:</w:t>
      </w:r>
      <w:r w:rsidRPr="00592AB7">
        <w:rPr>
          <w:rFonts w:ascii="Constantia" w:hAnsi="Constantia"/>
          <w:sz w:val="24"/>
          <w:szCs w:val="24"/>
        </w:rPr>
        <w:t xml:space="preserve"> MUI Fatwa, Integration of Islamic Jurisprudence Schools, Collective Ijtihad</w:t>
      </w:r>
    </w:p>
    <w:p w:rsidR="001A74BD" w:rsidRPr="00592AB7" w:rsidRDefault="001A74BD" w:rsidP="008B2583">
      <w:pPr>
        <w:spacing w:line="240" w:lineRule="auto"/>
        <w:ind w:left="0" w:hanging="2"/>
        <w:jc w:val="both"/>
        <w:rPr>
          <w:rFonts w:ascii="Constantia" w:eastAsia="Constantia" w:hAnsi="Constantia" w:cs="Constantia"/>
          <w:sz w:val="24"/>
          <w:szCs w:val="24"/>
        </w:rPr>
      </w:pPr>
    </w:p>
    <w:p w:rsidR="001A74BD" w:rsidRPr="00592AB7" w:rsidRDefault="001A74BD" w:rsidP="008B2583">
      <w:pPr>
        <w:spacing w:line="240" w:lineRule="auto"/>
        <w:ind w:left="0" w:hanging="2"/>
        <w:jc w:val="both"/>
        <w:rPr>
          <w:rFonts w:ascii="Constantia" w:eastAsia="Constantia" w:hAnsi="Constantia" w:cs="Constantia"/>
          <w:sz w:val="24"/>
          <w:szCs w:val="24"/>
        </w:rPr>
      </w:pPr>
    </w:p>
    <w:p w:rsidR="001A74BD" w:rsidRPr="00592AB7" w:rsidRDefault="00722657" w:rsidP="008B2583">
      <w:pPr>
        <w:spacing w:line="240" w:lineRule="auto"/>
        <w:ind w:left="0" w:hanging="2"/>
        <w:jc w:val="both"/>
        <w:rPr>
          <w:rFonts w:ascii="Constantia" w:eastAsia="Constantia" w:hAnsi="Constantia" w:cs="Constantia"/>
          <w:sz w:val="24"/>
          <w:szCs w:val="24"/>
          <w:lang w:val="id-ID"/>
        </w:rPr>
      </w:pPr>
      <w:r w:rsidRPr="00592AB7">
        <w:rPr>
          <w:rFonts w:ascii="Constantia" w:eastAsia="Constantia" w:hAnsi="Constantia" w:cs="Constantia"/>
          <w:b/>
          <w:sz w:val="24"/>
          <w:szCs w:val="24"/>
          <w:lang w:val="id-ID"/>
        </w:rPr>
        <w:t>Pendahuluan</w:t>
      </w:r>
    </w:p>
    <w:p w:rsidR="00BC05CC" w:rsidRPr="00592AB7" w:rsidRDefault="00BC05CC" w:rsidP="00BC05CC">
      <w:pPr>
        <w:ind w:left="0" w:hanging="2"/>
        <w:jc w:val="both"/>
        <w:rPr>
          <w:rFonts w:ascii="Constantia" w:hAnsi="Constantia"/>
          <w:sz w:val="24"/>
          <w:szCs w:val="24"/>
          <w:lang w:val="id-ID"/>
        </w:rPr>
      </w:pPr>
      <w:r w:rsidRPr="00592AB7">
        <w:rPr>
          <w:rFonts w:ascii="Constantia" w:hAnsi="Constantia"/>
          <w:sz w:val="24"/>
          <w:szCs w:val="24"/>
        </w:rPr>
        <w:t>Fatwa merupakan instrumen penting dalam dinamika hukum Islam, terutama dalam menjawab persoalan-persoalan kontemporer yang tidak secara eksplisit dijelaskan dalam teks-teks klasik. Di Indonesia, Majelis Ulama Indonesia (MUI) memegang peranan strategis sebagai lembaga fatwa yang berfungsi menjembatani antara otoritas keilmuan Islam dan kebutuhan masyarakat Muslim yang majemuk. Sejak didirikan pada tahun 1975, MUI telah menjadi rujukan utama dalam merumuskan fatwa yang tidak hanya bersifat normatif, tetapi juga kontekstual, dengan mempertimbangkan realitas sosial, budaya, dan politik Indonesia yang kompleks.</w:t>
      </w:r>
    </w:p>
    <w:p w:rsidR="00BC05CC" w:rsidRPr="00592AB7" w:rsidRDefault="00BC05CC" w:rsidP="00BC05CC">
      <w:pPr>
        <w:ind w:left="0" w:hanging="2"/>
        <w:jc w:val="both"/>
        <w:rPr>
          <w:rFonts w:ascii="Constantia" w:hAnsi="Constantia"/>
          <w:sz w:val="24"/>
          <w:szCs w:val="24"/>
          <w:lang w:val="id-ID"/>
        </w:rPr>
      </w:pPr>
      <w:r w:rsidRPr="00592AB7">
        <w:rPr>
          <w:rFonts w:ascii="Constantia" w:hAnsi="Constantia"/>
          <w:sz w:val="24"/>
          <w:szCs w:val="24"/>
        </w:rPr>
        <w:t xml:space="preserve">Dalam proses pembentukan fatwa, MUI tidak terpaku pada satu mazhab fikih tertentu. Meskipun mazhab Syafi’i secara historis menjadi tradisi dominan di Indonesia, MUI mengadopsi pendekatan integratif yang membuka ruang bagi pendapat dari mazhab lain seperti Hanafi, Maliki, dan Hanbali. Pendekatan ini mencerminkan semangat </w:t>
      </w:r>
      <w:r w:rsidRPr="00592AB7">
        <w:rPr>
          <w:rStyle w:val="Emphasis"/>
          <w:rFonts w:ascii="Constantia" w:hAnsi="Constantia"/>
          <w:sz w:val="24"/>
          <w:szCs w:val="24"/>
        </w:rPr>
        <w:t>ijtihad jama’i</w:t>
      </w:r>
      <w:r w:rsidRPr="00592AB7">
        <w:rPr>
          <w:rFonts w:ascii="Constantia" w:hAnsi="Constantia"/>
          <w:sz w:val="24"/>
          <w:szCs w:val="24"/>
        </w:rPr>
        <w:t xml:space="preserve"> (ijtihad kolektif), di mana para ulama dari berbagai latar belakang organisasi Islam dan mazhab fikih duduk bersama untuk merumuskan solusi hukum yang relevan dan dapat diterima secara luas. Menurut Firdaus (2021), MUI menerapkan epistemologi hukum Islam yang eklektik, dengan menggabungkan metode </w:t>
      </w:r>
      <w:r w:rsidRPr="00592AB7">
        <w:rPr>
          <w:rStyle w:val="Emphasis"/>
          <w:rFonts w:ascii="Constantia" w:hAnsi="Constantia"/>
          <w:sz w:val="24"/>
          <w:szCs w:val="24"/>
        </w:rPr>
        <w:t>bayani</w:t>
      </w:r>
      <w:r w:rsidRPr="00592AB7">
        <w:rPr>
          <w:rFonts w:ascii="Constantia" w:hAnsi="Constantia"/>
          <w:sz w:val="24"/>
          <w:szCs w:val="24"/>
        </w:rPr>
        <w:t xml:space="preserve"> (tekstual), </w:t>
      </w:r>
      <w:r w:rsidRPr="00592AB7">
        <w:rPr>
          <w:rStyle w:val="Emphasis"/>
          <w:rFonts w:ascii="Constantia" w:hAnsi="Constantia"/>
          <w:sz w:val="24"/>
          <w:szCs w:val="24"/>
        </w:rPr>
        <w:t>burhani</w:t>
      </w:r>
      <w:r w:rsidRPr="00592AB7">
        <w:rPr>
          <w:rFonts w:ascii="Constantia" w:hAnsi="Constantia"/>
          <w:sz w:val="24"/>
          <w:szCs w:val="24"/>
        </w:rPr>
        <w:t xml:space="preserve"> (rasional), dan </w:t>
      </w:r>
      <w:r w:rsidRPr="00592AB7">
        <w:rPr>
          <w:rStyle w:val="Emphasis"/>
          <w:rFonts w:ascii="Constantia" w:hAnsi="Constantia"/>
          <w:sz w:val="24"/>
          <w:szCs w:val="24"/>
        </w:rPr>
        <w:t>irfani</w:t>
      </w:r>
      <w:r w:rsidRPr="00592AB7">
        <w:rPr>
          <w:rFonts w:ascii="Constantia" w:hAnsi="Constantia"/>
          <w:sz w:val="24"/>
          <w:szCs w:val="24"/>
        </w:rPr>
        <w:t xml:space="preserve"> (spiritual intuitif) dalam proses istinbath hukum.</w:t>
      </w:r>
    </w:p>
    <w:p w:rsidR="00BC05CC" w:rsidRPr="00592AB7" w:rsidRDefault="00BC05CC" w:rsidP="00BC05CC">
      <w:pPr>
        <w:ind w:left="0" w:hanging="2"/>
        <w:jc w:val="both"/>
        <w:rPr>
          <w:rFonts w:ascii="Constantia" w:hAnsi="Constantia"/>
          <w:sz w:val="24"/>
          <w:szCs w:val="24"/>
          <w:lang w:val="id-ID"/>
        </w:rPr>
      </w:pPr>
      <w:r w:rsidRPr="00592AB7">
        <w:rPr>
          <w:rFonts w:ascii="Constantia" w:hAnsi="Constantia"/>
          <w:sz w:val="24"/>
          <w:szCs w:val="24"/>
          <w:lang w:val="id-ID"/>
        </w:rPr>
        <w:t xml:space="preserve">Integrasi mazhab fikih dalam fatwa MUI juga tercermin dalam praktik Dewan Syariah Nasional (DSN-MUI), yang menangani isu-isu ekonomi syariah. Penelitian oleh Andini (2022) menunjukkan bahwa fatwa DSN-MUI sering kali menggunakan kaidah fikih lintas mazhab, seperti </w:t>
      </w:r>
      <w:r w:rsidRPr="00592AB7">
        <w:rPr>
          <w:rStyle w:val="Emphasis"/>
          <w:rFonts w:ascii="Constantia" w:hAnsi="Constantia"/>
          <w:sz w:val="24"/>
          <w:szCs w:val="24"/>
          <w:lang w:val="id-ID"/>
        </w:rPr>
        <w:t>istihsan</w:t>
      </w:r>
      <w:r w:rsidRPr="00592AB7">
        <w:rPr>
          <w:rFonts w:ascii="Constantia" w:hAnsi="Constantia"/>
          <w:sz w:val="24"/>
          <w:szCs w:val="24"/>
          <w:lang w:val="id-ID"/>
        </w:rPr>
        <w:t xml:space="preserve">, </w:t>
      </w:r>
      <w:r w:rsidRPr="00592AB7">
        <w:rPr>
          <w:rStyle w:val="Emphasis"/>
          <w:rFonts w:ascii="Constantia" w:hAnsi="Constantia"/>
          <w:sz w:val="24"/>
          <w:szCs w:val="24"/>
          <w:lang w:val="id-ID"/>
        </w:rPr>
        <w:t>istishab</w:t>
      </w:r>
      <w:r w:rsidRPr="00592AB7">
        <w:rPr>
          <w:rFonts w:ascii="Constantia" w:hAnsi="Constantia"/>
          <w:sz w:val="24"/>
          <w:szCs w:val="24"/>
          <w:lang w:val="id-ID"/>
        </w:rPr>
        <w:t xml:space="preserve">, dan </w:t>
      </w:r>
      <w:r w:rsidRPr="00592AB7">
        <w:rPr>
          <w:rStyle w:val="Emphasis"/>
          <w:rFonts w:ascii="Constantia" w:hAnsi="Constantia"/>
          <w:sz w:val="24"/>
          <w:szCs w:val="24"/>
          <w:lang w:val="id-ID"/>
        </w:rPr>
        <w:t>maslahah mursalah</w:t>
      </w:r>
      <w:r w:rsidRPr="00592AB7">
        <w:rPr>
          <w:rFonts w:ascii="Constantia" w:hAnsi="Constantia"/>
          <w:sz w:val="24"/>
          <w:szCs w:val="24"/>
          <w:lang w:val="id-ID"/>
        </w:rPr>
        <w:t>, untuk merespons perkembangan industri keuangan syariah yang dinamis. Pendekatan ini menunjukkan bahwa MUI tidak hanya berorientasi pada teks klasik, tetapi juga pada kebutuhan praktis dan kemaslahatan umat.</w:t>
      </w:r>
    </w:p>
    <w:p w:rsidR="00BC05CC" w:rsidRPr="00592AB7" w:rsidRDefault="00BC05CC" w:rsidP="00BC05CC">
      <w:pPr>
        <w:ind w:left="0" w:hanging="2"/>
        <w:jc w:val="both"/>
        <w:rPr>
          <w:rFonts w:ascii="Constantia" w:hAnsi="Constantia"/>
          <w:sz w:val="24"/>
          <w:szCs w:val="24"/>
          <w:lang w:val="id-ID"/>
        </w:rPr>
      </w:pPr>
      <w:r w:rsidRPr="00592AB7">
        <w:rPr>
          <w:rFonts w:ascii="Constantia" w:hAnsi="Constantia"/>
          <w:sz w:val="24"/>
          <w:szCs w:val="24"/>
        </w:rPr>
        <w:t xml:space="preserve">Namun, pendekatan integratif ini tidak lepas dari tantangan. Salah satu tantangan utama adalah bagaimana menyelaraskan keragaman metodologi dan otoritas keilmuan yang ada di dalam tubuh MUI. Perbedaan latar belakang organisasi, afiliasi mazhab, dan pendekatan epistemologis sering kali memunculkan perdebatan internal dalam proses perumusan fatwa. Selain itu, legitimasi fatwa di mata publik juga bergantung pada transparansi metodologi dan konsistensi argumentasi hukum yang digunakan. Sebagaimana diungkapkan oleh Wijaya (2019), fatwa-fatwa MUI </w:t>
      </w:r>
      <w:r w:rsidRPr="00592AB7">
        <w:rPr>
          <w:rFonts w:ascii="Constantia" w:hAnsi="Constantia"/>
          <w:sz w:val="24"/>
          <w:szCs w:val="24"/>
        </w:rPr>
        <w:lastRenderedPageBreak/>
        <w:t>kadang menghadapi resistensi dari masyarakat atau ormas Islam lain, terutama jika dianggap tidak mencerminkan prinsip inklusivitas dan keadilan sosial.</w:t>
      </w:r>
    </w:p>
    <w:p w:rsidR="00BC05CC" w:rsidRPr="00592AB7" w:rsidRDefault="00BC05CC" w:rsidP="00BC05CC">
      <w:pPr>
        <w:ind w:left="0" w:hanging="2"/>
        <w:jc w:val="both"/>
        <w:rPr>
          <w:rFonts w:ascii="Constantia" w:hAnsi="Constantia"/>
          <w:sz w:val="24"/>
          <w:szCs w:val="24"/>
          <w:lang w:val="id-ID"/>
        </w:rPr>
      </w:pPr>
      <w:r w:rsidRPr="00592AB7">
        <w:rPr>
          <w:rFonts w:ascii="Constantia" w:hAnsi="Constantia"/>
          <w:sz w:val="24"/>
          <w:szCs w:val="24"/>
        </w:rPr>
        <w:t xml:space="preserve">Dalam konteks global, pendekatan integratif terhadap mazhab fikih telah menjadi tren dalam pembaruan hukum Islam. Yusuf al-Qaradawi, dalam karyanya </w:t>
      </w:r>
      <w:r w:rsidRPr="00592AB7">
        <w:rPr>
          <w:rStyle w:val="Emphasis"/>
          <w:rFonts w:ascii="Constantia" w:hAnsi="Constantia"/>
          <w:sz w:val="24"/>
          <w:szCs w:val="24"/>
        </w:rPr>
        <w:t>Fatwa Antara Tradisi dan Pembaruan</w:t>
      </w:r>
      <w:r w:rsidRPr="00592AB7">
        <w:rPr>
          <w:rFonts w:ascii="Constantia" w:hAnsi="Constantia"/>
          <w:sz w:val="24"/>
          <w:szCs w:val="24"/>
        </w:rPr>
        <w:t xml:space="preserve">, menekankan pentingnya membuka ruang bagi pendapat lintas mazhab untuk menjawab tantangan zaman, selama tetap berpegang pada prinsip </w:t>
      </w:r>
      <w:r w:rsidRPr="00592AB7">
        <w:rPr>
          <w:rStyle w:val="Emphasis"/>
          <w:rFonts w:ascii="Constantia" w:hAnsi="Constantia"/>
          <w:sz w:val="24"/>
          <w:szCs w:val="24"/>
        </w:rPr>
        <w:t>maqashid syariah</w:t>
      </w:r>
      <w:r w:rsidRPr="00592AB7">
        <w:rPr>
          <w:rFonts w:ascii="Constantia" w:hAnsi="Constantia"/>
          <w:sz w:val="24"/>
          <w:szCs w:val="24"/>
        </w:rPr>
        <w:t xml:space="preserve"> dan </w:t>
      </w:r>
      <w:r w:rsidRPr="00592AB7">
        <w:rPr>
          <w:rStyle w:val="Emphasis"/>
          <w:rFonts w:ascii="Constantia" w:hAnsi="Constantia"/>
          <w:sz w:val="24"/>
          <w:szCs w:val="24"/>
        </w:rPr>
        <w:t>maslahah</w:t>
      </w:r>
      <w:r w:rsidRPr="00592AB7">
        <w:rPr>
          <w:rFonts w:ascii="Constantia" w:hAnsi="Constantia"/>
          <w:sz w:val="24"/>
          <w:szCs w:val="24"/>
        </w:rPr>
        <w:t xml:space="preserve"> sebagai landasan utama. Hal ini sejalan dengan visi MUI dalam merumuskan fatwa yang tidak hanya sah secara syar’i, tetapi juga relevan secara sosial dan politik.</w:t>
      </w:r>
    </w:p>
    <w:p w:rsidR="00BC05CC" w:rsidRPr="00592AB7" w:rsidRDefault="00BC05CC" w:rsidP="00BC05CC">
      <w:pPr>
        <w:ind w:left="0" w:hanging="2"/>
        <w:jc w:val="both"/>
        <w:rPr>
          <w:rFonts w:ascii="Constantia" w:hAnsi="Constantia"/>
          <w:sz w:val="24"/>
          <w:szCs w:val="24"/>
          <w:lang w:val="id-ID"/>
        </w:rPr>
      </w:pPr>
      <w:r w:rsidRPr="00592AB7">
        <w:rPr>
          <w:rFonts w:ascii="Constantia" w:hAnsi="Constantia"/>
          <w:sz w:val="24"/>
          <w:szCs w:val="24"/>
          <w:lang w:val="id-ID"/>
        </w:rPr>
        <w:t xml:space="preserve">Oleh karena itu, penelitian ini bertujuan untuk menganalisis secara kritis bagaimana integrasi mazhab fikih diterapkan dalam pembentukan fatwa MUI, khususnya dalam menghadapi isu-isu kontemporer seperti keuangan digital, vaksinasi, dan etika media sosial. </w:t>
      </w:r>
      <w:r w:rsidRPr="00592AB7">
        <w:rPr>
          <w:rFonts w:ascii="Constantia" w:hAnsi="Constantia"/>
          <w:sz w:val="24"/>
          <w:szCs w:val="24"/>
        </w:rPr>
        <w:t xml:space="preserve">Penelitian ini juga akan mengeksplorasi tantangan epistemologis dan metodologis yang dihadapi MUI dalam proses </w:t>
      </w:r>
      <w:r w:rsidRPr="00592AB7">
        <w:rPr>
          <w:rStyle w:val="Emphasis"/>
          <w:rFonts w:ascii="Constantia" w:hAnsi="Constantia"/>
          <w:sz w:val="24"/>
          <w:szCs w:val="24"/>
        </w:rPr>
        <w:t>ijtihad jama’i</w:t>
      </w:r>
      <w:r w:rsidRPr="00592AB7">
        <w:rPr>
          <w:rFonts w:ascii="Constantia" w:hAnsi="Constantia"/>
          <w:sz w:val="24"/>
          <w:szCs w:val="24"/>
        </w:rPr>
        <w:t>, serta menawarkan rekomendasi untuk memperkuat kerangka kerja fatwa yang sistematis, transparan, dan adaptif terhadap perubahan zaman.</w:t>
      </w:r>
    </w:p>
    <w:p w:rsidR="005939A4" w:rsidRPr="00592AB7" w:rsidRDefault="005939A4" w:rsidP="008B2583">
      <w:pPr>
        <w:spacing w:line="240" w:lineRule="auto"/>
        <w:ind w:left="0" w:hanging="2"/>
        <w:jc w:val="both"/>
        <w:rPr>
          <w:rFonts w:ascii="Constantia" w:hAnsi="Constantia"/>
          <w:noProof w:val="0"/>
          <w:position w:val="0"/>
          <w:sz w:val="24"/>
          <w:szCs w:val="24"/>
          <w:lang w:val="id-ID"/>
        </w:rPr>
      </w:pPr>
    </w:p>
    <w:p w:rsidR="001A74BD" w:rsidRPr="00592AB7" w:rsidRDefault="00722657" w:rsidP="008B2583">
      <w:pPr>
        <w:spacing w:line="240" w:lineRule="auto"/>
        <w:ind w:left="0" w:hanging="2"/>
        <w:jc w:val="both"/>
        <w:rPr>
          <w:rFonts w:ascii="Constantia" w:hAnsi="Constantia"/>
          <w:noProof w:val="0"/>
          <w:position w:val="0"/>
          <w:sz w:val="24"/>
          <w:szCs w:val="24"/>
          <w:lang w:val="id-ID"/>
        </w:rPr>
      </w:pPr>
      <w:r w:rsidRPr="00592AB7">
        <w:rPr>
          <w:rFonts w:ascii="Constantia" w:eastAsia="Constantia" w:hAnsi="Constantia" w:cs="Constantia"/>
          <w:b/>
          <w:sz w:val="24"/>
          <w:szCs w:val="24"/>
          <w:lang w:val="id-ID"/>
        </w:rPr>
        <w:t>Metode Penelitian</w:t>
      </w:r>
    </w:p>
    <w:p w:rsidR="002F2C1A" w:rsidRPr="00592AB7" w:rsidRDefault="002F2C1A" w:rsidP="002F2C1A">
      <w:pPr>
        <w:ind w:left="0" w:hanging="2"/>
        <w:jc w:val="both"/>
        <w:rPr>
          <w:rFonts w:ascii="Constantia" w:hAnsi="Constantia"/>
          <w:sz w:val="24"/>
          <w:szCs w:val="24"/>
          <w:lang w:val="id-ID"/>
        </w:rPr>
      </w:pPr>
      <w:r w:rsidRPr="00592AB7">
        <w:rPr>
          <w:rFonts w:ascii="Constantia" w:hAnsi="Constantia"/>
          <w:sz w:val="24"/>
          <w:szCs w:val="24"/>
        </w:rPr>
        <w:t xml:space="preserve">Penelitian ini menggunakan pendekatan </w:t>
      </w:r>
      <w:r w:rsidRPr="00592AB7">
        <w:rPr>
          <w:rStyle w:val="Strong"/>
          <w:rFonts w:ascii="Constantia" w:hAnsi="Constantia"/>
          <w:b w:val="0"/>
          <w:sz w:val="24"/>
          <w:szCs w:val="24"/>
        </w:rPr>
        <w:t>kualitatif deskriptif</w:t>
      </w:r>
      <w:r w:rsidRPr="00592AB7">
        <w:rPr>
          <w:rFonts w:ascii="Constantia" w:hAnsi="Constantia"/>
          <w:sz w:val="24"/>
          <w:szCs w:val="24"/>
        </w:rPr>
        <w:t xml:space="preserve"> dengan metode </w:t>
      </w:r>
      <w:r w:rsidRPr="00592AB7">
        <w:rPr>
          <w:rStyle w:val="Strong"/>
          <w:rFonts w:ascii="Constantia" w:hAnsi="Constantia"/>
          <w:b w:val="0"/>
          <w:sz w:val="24"/>
          <w:szCs w:val="24"/>
        </w:rPr>
        <w:t>analisis isi</w:t>
      </w:r>
      <w:r w:rsidRPr="00592AB7">
        <w:rPr>
          <w:rFonts w:ascii="Constantia" w:hAnsi="Constantia"/>
          <w:b/>
          <w:sz w:val="24"/>
          <w:szCs w:val="24"/>
        </w:rPr>
        <w:t xml:space="preserve"> </w:t>
      </w:r>
      <w:r w:rsidRPr="00592AB7">
        <w:rPr>
          <w:rFonts w:ascii="Constantia" w:hAnsi="Constantia"/>
          <w:sz w:val="24"/>
          <w:szCs w:val="24"/>
        </w:rPr>
        <w:t>terhadap dokumen fatwa yang dikeluarkan oleh Majelis Ulama Indonesia (MUI), khususnya dalam dua dekade terakhir. Analisis difokuskan pada bagaimana mazhab fikih diintegrasikan dalam proses istinbath hukum, serta bagaimana metode bayani, burhani, dan irfani digunakan secara sinergis dalam pembentukan fatwa. Pendekatan ini dipilih karena mampu mengungkap dinamika epistemologis dan metodologis yang tidak dapat dijelaskan secara kuantitatif. Sebagaimana dijelaskan oleh Firdaus (2021), pendekatan hermeneutika hukum Islam sangat relevan untuk memahami fleksibilitas dan adaptabilitas fatwa MUI dalam merespons isu-isu kontemporer.</w:t>
      </w:r>
    </w:p>
    <w:p w:rsidR="002F2C1A" w:rsidRPr="00592AB7" w:rsidRDefault="002F2C1A" w:rsidP="002F2C1A">
      <w:pPr>
        <w:ind w:left="0" w:hanging="2"/>
        <w:jc w:val="both"/>
        <w:rPr>
          <w:rFonts w:ascii="Constantia" w:hAnsi="Constantia"/>
          <w:sz w:val="24"/>
          <w:szCs w:val="24"/>
          <w:lang w:val="id-ID"/>
        </w:rPr>
      </w:pPr>
      <w:r w:rsidRPr="00592AB7">
        <w:rPr>
          <w:rFonts w:ascii="Constantia" w:hAnsi="Constantia"/>
          <w:sz w:val="24"/>
          <w:szCs w:val="24"/>
        </w:rPr>
        <w:t>Sumber data primer berupa dokumen fatwa resmi MUI dan DSN-MUI yang dipublikasikan antara tahun 2000–2024, termasuk hasil Ijtima’ Ulama dan publikasi resmi MUI. Sementara itu, data sekunder diperoleh dari literatur akademik seperti jurnal dan buku yang membahas metodologi fatwa dan integrasi mazhab fikih, di antaranya karya Andini (2022) yang memetakan kaidah-kaidah fikih dalam fatwa DSN-MUI, serta studi komparatif oleh Wijaya (2019) yang membandingkan pendekatan fatwa MUI dengan lembaga lain seperti Majelis Tarjih Muhammadiyah dan Bahtsul Masail NU</w:t>
      </w:r>
      <w:r w:rsidRPr="00592AB7">
        <w:rPr>
          <w:rStyle w:val="mx-05"/>
          <w:rFonts w:ascii="Constantia" w:hAnsi="Constantia"/>
          <w:sz w:val="24"/>
          <w:szCs w:val="24"/>
        </w:rPr>
        <w:t>3</w:t>
      </w:r>
      <w:r w:rsidRPr="00592AB7">
        <w:rPr>
          <w:rFonts w:ascii="Constantia" w:hAnsi="Constantia"/>
          <w:sz w:val="24"/>
          <w:szCs w:val="24"/>
        </w:rPr>
        <w:t>. Teknik analisis dilakukan dengan mengkaji struktur argumentasi hukum, sumber dalil, dan pola pengambilan keputusan dalam fatwa, untuk mengidentifikasi sejauh mana integrasi mazhab fikih diterapkan secara konsisten dan kontekstual.</w:t>
      </w:r>
    </w:p>
    <w:p w:rsidR="004032E3" w:rsidRPr="00592AB7" w:rsidRDefault="004032E3" w:rsidP="00A36FC2">
      <w:pPr>
        <w:spacing w:line="240" w:lineRule="auto"/>
        <w:ind w:leftChars="0" w:left="0" w:firstLineChars="0" w:firstLine="0"/>
        <w:jc w:val="both"/>
        <w:rPr>
          <w:rFonts w:ascii="Constantia" w:eastAsia="Constantia" w:hAnsi="Constantia" w:cs="Constantia"/>
          <w:sz w:val="24"/>
          <w:szCs w:val="24"/>
          <w:lang w:val="id-ID"/>
        </w:rPr>
      </w:pPr>
    </w:p>
    <w:p w:rsidR="004F2767" w:rsidRPr="00592AB7" w:rsidRDefault="008F5B81" w:rsidP="00832F59">
      <w:pPr>
        <w:spacing w:line="240" w:lineRule="auto"/>
        <w:ind w:left="0" w:hanging="2"/>
        <w:jc w:val="both"/>
        <w:rPr>
          <w:rFonts w:ascii="Constantia" w:hAnsi="Constantia"/>
          <w:noProof w:val="0"/>
          <w:position w:val="0"/>
          <w:sz w:val="24"/>
          <w:szCs w:val="24"/>
          <w:lang w:val="id-ID"/>
        </w:rPr>
      </w:pPr>
      <w:r w:rsidRPr="00592AB7">
        <w:rPr>
          <w:rFonts w:ascii="Constantia" w:eastAsia="Constantia" w:hAnsi="Constantia" w:cs="Constantia"/>
          <w:b/>
          <w:sz w:val="24"/>
          <w:szCs w:val="24"/>
          <w:lang w:val="id-ID"/>
        </w:rPr>
        <w:t>Hasil Pembahasan</w:t>
      </w:r>
    </w:p>
    <w:p w:rsidR="00832F59" w:rsidRPr="00592AB7" w:rsidRDefault="00832F59" w:rsidP="00832F59">
      <w:pPr>
        <w:pStyle w:val="NormalWeb"/>
        <w:spacing w:before="0" w:beforeAutospacing="0" w:after="0" w:afterAutospacing="0"/>
        <w:ind w:left="0" w:hanging="2"/>
        <w:jc w:val="both"/>
        <w:rPr>
          <w:rFonts w:ascii="Constantia" w:hAnsi="Constantia"/>
        </w:rPr>
      </w:pPr>
      <w:r w:rsidRPr="00592AB7">
        <w:rPr>
          <w:rFonts w:ascii="Constantia" w:hAnsi="Constantia"/>
        </w:rPr>
        <w:t xml:space="preserve">Integrasi mazhab fikih dalam pembentukan fatwa Majelis Ulama Indonesia (MUI) merupakan refleksi dari pendekatan epistemologis yang inklusif dan kontekstual. MUI tidak membatasi diri pada satu mazhab tertentu, meskipun mazhab Syafi’i </w:t>
      </w:r>
      <w:r w:rsidRPr="00592AB7">
        <w:rPr>
          <w:rFonts w:ascii="Constantia" w:hAnsi="Constantia"/>
        </w:rPr>
        <w:lastRenderedPageBreak/>
        <w:t xml:space="preserve">menjadi tradisi dominan di Indonesia. Sebaliknya, MUI mengadopsi metode istinbath hukum yang menggabungkan pendekatan </w:t>
      </w:r>
      <w:r w:rsidRPr="00592AB7">
        <w:rPr>
          <w:rStyle w:val="Emphasis"/>
          <w:rFonts w:ascii="Constantia" w:hAnsi="Constantia"/>
        </w:rPr>
        <w:t>bayani</w:t>
      </w:r>
      <w:r w:rsidRPr="00592AB7">
        <w:rPr>
          <w:rFonts w:ascii="Constantia" w:hAnsi="Constantia"/>
        </w:rPr>
        <w:t xml:space="preserve"> (tekstual), </w:t>
      </w:r>
      <w:r w:rsidRPr="00592AB7">
        <w:rPr>
          <w:rStyle w:val="Emphasis"/>
          <w:rFonts w:ascii="Constantia" w:hAnsi="Constantia"/>
        </w:rPr>
        <w:t>burhani</w:t>
      </w:r>
      <w:r w:rsidRPr="00592AB7">
        <w:rPr>
          <w:rFonts w:ascii="Constantia" w:hAnsi="Constantia"/>
        </w:rPr>
        <w:t xml:space="preserve"> (rasional), dan </w:t>
      </w:r>
      <w:r w:rsidRPr="00592AB7">
        <w:rPr>
          <w:rStyle w:val="Emphasis"/>
          <w:rFonts w:ascii="Constantia" w:hAnsi="Constantia"/>
        </w:rPr>
        <w:t>irfani</w:t>
      </w:r>
      <w:r w:rsidRPr="00592AB7">
        <w:rPr>
          <w:rFonts w:ascii="Constantia" w:hAnsi="Constantia"/>
        </w:rPr>
        <w:t xml:space="preserve"> (spiritual intuitif), sebagaimana dijelaskan oleh Firdaus (2021) dalam studinya tentang epistemologi hukum Islam MUI. Pendekatan ini memungkinkan MUI untuk merumuskan fatwa yang tidak hanya sah secara syar’i, tetapi juga relevan dengan realitas sosial dan budaya masyarakat Indonesia.</w:t>
      </w:r>
    </w:p>
    <w:p w:rsidR="00832F59" w:rsidRPr="00592AB7" w:rsidRDefault="00832F59" w:rsidP="00832F59">
      <w:pPr>
        <w:pStyle w:val="NormalWeb"/>
        <w:spacing w:before="0" w:beforeAutospacing="0" w:after="0" w:afterAutospacing="0"/>
        <w:ind w:left="0" w:hanging="2"/>
        <w:jc w:val="both"/>
        <w:rPr>
          <w:rFonts w:ascii="Constantia" w:hAnsi="Constantia"/>
        </w:rPr>
      </w:pPr>
      <w:r w:rsidRPr="00592AB7">
        <w:rPr>
          <w:rFonts w:ascii="Constantia" w:hAnsi="Constantia"/>
        </w:rPr>
        <w:t xml:space="preserve">Dalam praktiknya, integrasi mazhab fikih terlihat jelas dalam fatwa-fatwa Dewan Syariah Nasional (DSN-MUI), terutama dalam bidang ekonomi syariah. Penelitian oleh Andini (2022) menunjukkan bahwa DSN-MUI sering menggunakan kaidah fikih lintas mazhab, seperti </w:t>
      </w:r>
      <w:r w:rsidRPr="00592AB7">
        <w:rPr>
          <w:rStyle w:val="Emphasis"/>
          <w:rFonts w:ascii="Constantia" w:hAnsi="Constantia"/>
        </w:rPr>
        <w:t>istihsan</w:t>
      </w:r>
      <w:r w:rsidRPr="00592AB7">
        <w:rPr>
          <w:rFonts w:ascii="Constantia" w:hAnsi="Constantia"/>
        </w:rPr>
        <w:t xml:space="preserve">, </w:t>
      </w:r>
      <w:r w:rsidRPr="00592AB7">
        <w:rPr>
          <w:rStyle w:val="Emphasis"/>
          <w:rFonts w:ascii="Constantia" w:hAnsi="Constantia"/>
        </w:rPr>
        <w:t>istishab</w:t>
      </w:r>
      <w:r w:rsidRPr="00592AB7">
        <w:rPr>
          <w:rFonts w:ascii="Constantia" w:hAnsi="Constantia"/>
        </w:rPr>
        <w:t xml:space="preserve">, dan </w:t>
      </w:r>
      <w:r w:rsidRPr="00592AB7">
        <w:rPr>
          <w:rStyle w:val="Emphasis"/>
          <w:rFonts w:ascii="Constantia" w:hAnsi="Constantia"/>
        </w:rPr>
        <w:t>maslahah mursalah</w:t>
      </w:r>
      <w:r w:rsidRPr="00592AB7">
        <w:rPr>
          <w:rFonts w:ascii="Constantia" w:hAnsi="Constantia"/>
        </w:rPr>
        <w:t xml:space="preserve">, untuk merespons isu-isu kontemporer seperti fintech, asuransi syariah, dan transaksi digital. Kaidah-kaidah ini tidak hanya berasal dari mazhab Syafi’i, tetapi juga dari mazhab Hanafi dan Maliki, yang lebih fleksibel dalam hal muamalah. Hal ini menunjukkan bahwa MUI secara aktif melakukan </w:t>
      </w:r>
      <w:r w:rsidRPr="00592AB7">
        <w:rPr>
          <w:rStyle w:val="Emphasis"/>
          <w:rFonts w:ascii="Constantia" w:hAnsi="Constantia"/>
        </w:rPr>
        <w:t>ijtihad jama’i</w:t>
      </w:r>
      <w:r w:rsidRPr="00592AB7">
        <w:rPr>
          <w:rFonts w:ascii="Constantia" w:hAnsi="Constantia"/>
        </w:rPr>
        <w:t xml:space="preserve"> dengan mempertimbangkan pendapat-pendapat mazhab lain yang lebih sesuai dengan konteks modern.</w:t>
      </w:r>
    </w:p>
    <w:p w:rsidR="00832F59" w:rsidRPr="00592AB7" w:rsidRDefault="00832F59" w:rsidP="00832F59">
      <w:pPr>
        <w:pStyle w:val="NormalWeb"/>
        <w:spacing w:before="0" w:beforeAutospacing="0" w:after="0" w:afterAutospacing="0"/>
        <w:ind w:left="0" w:hanging="2"/>
        <w:jc w:val="both"/>
        <w:rPr>
          <w:rFonts w:ascii="Constantia" w:hAnsi="Constantia"/>
        </w:rPr>
      </w:pPr>
      <w:r w:rsidRPr="00592AB7">
        <w:rPr>
          <w:rFonts w:ascii="Constantia" w:hAnsi="Constantia"/>
        </w:rPr>
        <w:t>Namun, integrasi ini juga menghadapi tantangan metodologis. Seperti diungkapkan oleh Wijaya (2019), perbedaan latar belakang organisasi dan afiliasi mazhab di antara anggota Komisi Fatwa MUI dapat memunculkan perbedaan pandangan yang signifikan dalam proses perumusan fatwa. Selain itu, belum adanya kerangka kerja epistemologis yang sistematis dan terdokumentasi secara transparan membuat proses pengambilan keputusan rentan terhadap kritik, terutama dari kalangan akademisi dan masyarakat sipil. Oleh karena itu, penguatan metodologi fatwa dan dokumentasi proses istinbath menjadi penting untuk meningkatkan legitimasi dan keberterimaan fatwa di tengah masyarakat multikultural.</w:t>
      </w:r>
    </w:p>
    <w:p w:rsidR="00832F59" w:rsidRPr="00592AB7" w:rsidRDefault="00832F59" w:rsidP="00832F59">
      <w:pPr>
        <w:pStyle w:val="NormalWeb"/>
        <w:spacing w:before="0" w:beforeAutospacing="0" w:after="0" w:afterAutospacing="0"/>
        <w:ind w:left="0" w:hanging="2"/>
        <w:jc w:val="both"/>
        <w:rPr>
          <w:rFonts w:ascii="Constantia" w:hAnsi="Constantia"/>
        </w:rPr>
      </w:pPr>
      <w:r w:rsidRPr="00592AB7">
        <w:rPr>
          <w:rFonts w:ascii="Constantia" w:hAnsi="Constantia"/>
        </w:rPr>
        <w:t>Secara keseluruhan, praktik integrasi mazhab fikih dalam fatwa MUI menunjukkan fleksibilitas dan adaptabilitas hukum Islam dalam menjawab tantangan zaman. Namun, agar pendekatan ini dapat berfungsi secara optimal, diperlukan pengembangan sistem dokumentasi, pelatihan metodologis bagi para mufti, dan keterlibatan publik dalam proses fatwa. Dengan demikian, fatwa MUI tidak hanya menjadi produk hukum, tetapi juga instrumen sosial yang mampu membentuk kesadaran keagamaan yang inklusif dan berkeadilan.</w:t>
      </w:r>
    </w:p>
    <w:p w:rsidR="00832F59" w:rsidRPr="00592AB7" w:rsidRDefault="00832F59" w:rsidP="00832F59">
      <w:pPr>
        <w:spacing w:line="240" w:lineRule="auto"/>
        <w:ind w:left="0" w:hanging="2"/>
        <w:jc w:val="both"/>
        <w:rPr>
          <w:rFonts w:ascii="Constantia" w:hAnsi="Constantia"/>
          <w:sz w:val="24"/>
          <w:szCs w:val="24"/>
        </w:rPr>
      </w:pPr>
      <w:r w:rsidRPr="00592AB7">
        <w:rPr>
          <w:rFonts w:ascii="Constantia" w:hAnsi="Constantia"/>
          <w:sz w:val="24"/>
          <w:szCs w:val="24"/>
        </w:rPr>
        <w:t>Penelitian ini menemukan bahwa Majelis Ulama Indonesia (MUI), khususnya melalui Komisi Fatwa dan Dewan Syariah Nasional (DSN-MUI), secara konsisten menerapkan pendekatan integratif terhadap mazhab fikih dalam proses penetapan fatwa. Dari analisis terhadap 15 fatwa kontemporer yang dikeluarkan antara tahun 2010–2024, terlihat bahwa MUI tidak hanya merujuk pada mazhab Syafi’i, tetapi juga mengadopsi kaidah-kaidah dari mazhab Hanafi, Maliki, dan Hanbali, terutama dalam isu-isu muamalah dan sosial kemasyarakatan.</w:t>
      </w:r>
    </w:p>
    <w:p w:rsidR="00832F59" w:rsidRPr="00592AB7" w:rsidRDefault="00832F59" w:rsidP="00832F59">
      <w:pPr>
        <w:spacing w:line="240" w:lineRule="auto"/>
        <w:ind w:left="0" w:hanging="2"/>
        <w:jc w:val="both"/>
        <w:rPr>
          <w:rFonts w:ascii="Constantia" w:hAnsi="Constantia"/>
          <w:sz w:val="24"/>
          <w:szCs w:val="24"/>
        </w:rPr>
      </w:pPr>
      <w:r w:rsidRPr="00592AB7">
        <w:rPr>
          <w:rFonts w:ascii="Constantia" w:hAnsi="Constantia"/>
          <w:sz w:val="24"/>
          <w:szCs w:val="24"/>
        </w:rPr>
        <w:t xml:space="preserve">Pendekatan ini tercermin dalam penggunaan metode </w:t>
      </w:r>
      <w:r w:rsidRPr="00592AB7">
        <w:rPr>
          <w:rFonts w:ascii="Constantia" w:hAnsi="Constantia"/>
          <w:i/>
          <w:iCs/>
          <w:sz w:val="24"/>
          <w:szCs w:val="24"/>
        </w:rPr>
        <w:t>bayani</w:t>
      </w:r>
      <w:r w:rsidRPr="00592AB7">
        <w:rPr>
          <w:rFonts w:ascii="Constantia" w:hAnsi="Constantia"/>
          <w:sz w:val="24"/>
          <w:szCs w:val="24"/>
        </w:rPr>
        <w:t xml:space="preserve"> (berbasis teks), </w:t>
      </w:r>
      <w:r w:rsidRPr="00592AB7">
        <w:rPr>
          <w:rFonts w:ascii="Constantia" w:hAnsi="Constantia"/>
          <w:i/>
          <w:iCs/>
          <w:sz w:val="24"/>
          <w:szCs w:val="24"/>
        </w:rPr>
        <w:t>burhani</w:t>
      </w:r>
      <w:r w:rsidRPr="00592AB7">
        <w:rPr>
          <w:rFonts w:ascii="Constantia" w:hAnsi="Constantia"/>
          <w:sz w:val="24"/>
          <w:szCs w:val="24"/>
        </w:rPr>
        <w:t xml:space="preserve"> (berbasis rasionalitas), dan </w:t>
      </w:r>
      <w:r w:rsidRPr="00592AB7">
        <w:rPr>
          <w:rFonts w:ascii="Constantia" w:hAnsi="Constantia"/>
          <w:i/>
          <w:iCs/>
          <w:sz w:val="24"/>
          <w:szCs w:val="24"/>
        </w:rPr>
        <w:t>irfani</w:t>
      </w:r>
      <w:r w:rsidRPr="00592AB7">
        <w:rPr>
          <w:rFonts w:ascii="Constantia" w:hAnsi="Constantia"/>
          <w:sz w:val="24"/>
          <w:szCs w:val="24"/>
        </w:rPr>
        <w:t xml:space="preserve"> (berbasis intuisi dan hikmah), yang secara bersamaan digunakan untuk merumuskan fatwa yang kontekstual dan responsif terhadap kebutuhan masyarakat. Sebagaimana dijelaskan oleh Firdaus (2021), integrasi epistemologis ini memperkaya khazanah hukum Islam di Indonesia, </w:t>
      </w:r>
      <w:r w:rsidRPr="00592AB7">
        <w:rPr>
          <w:rFonts w:ascii="Constantia" w:hAnsi="Constantia"/>
          <w:sz w:val="24"/>
          <w:szCs w:val="24"/>
        </w:rPr>
        <w:lastRenderedPageBreak/>
        <w:t>namun juga menuntut kehati-hatian dalam menyelaraskan berbagai sumber hukum dan otoritas keilmuan.</w:t>
      </w:r>
    </w:p>
    <w:p w:rsidR="00832F59" w:rsidRPr="00592AB7" w:rsidRDefault="00832F59" w:rsidP="00832F59">
      <w:pPr>
        <w:spacing w:line="240" w:lineRule="auto"/>
        <w:ind w:left="0" w:hanging="2"/>
        <w:jc w:val="both"/>
        <w:rPr>
          <w:rFonts w:ascii="Constantia" w:hAnsi="Constantia"/>
          <w:sz w:val="24"/>
          <w:szCs w:val="24"/>
          <w:lang w:val="id-ID"/>
        </w:rPr>
      </w:pPr>
      <w:r w:rsidRPr="00592AB7">
        <w:rPr>
          <w:rFonts w:ascii="Constantia" w:hAnsi="Constantia"/>
          <w:sz w:val="24"/>
          <w:szCs w:val="24"/>
        </w:rPr>
        <w:t>Berikut adalah tabel yang merangkum hasil analisis terhadap beberapa fatwa MUI yang menunjukkan integrasi mazhab fikih:</w:t>
      </w:r>
    </w:p>
    <w:p w:rsidR="00832F59" w:rsidRPr="00592AB7" w:rsidRDefault="00832F59" w:rsidP="00832F59">
      <w:pPr>
        <w:spacing w:line="240" w:lineRule="auto"/>
        <w:ind w:left="0" w:hanging="2"/>
        <w:jc w:val="both"/>
        <w:outlineLvl w:val="9"/>
        <w:rPr>
          <w:rFonts w:ascii="Constantia" w:hAnsi="Constantia"/>
          <w:sz w:val="24"/>
          <w:szCs w:val="24"/>
        </w:rPr>
      </w:pPr>
      <w:r w:rsidRPr="00592AB7">
        <w:rPr>
          <w:rFonts w:ascii="Constantia" w:hAnsi="Constantia"/>
          <w:b/>
          <w:bCs/>
          <w:sz w:val="24"/>
          <w:szCs w:val="24"/>
        </w:rPr>
        <w:t>Tabel</w:t>
      </w:r>
      <w:r w:rsidRPr="00592AB7">
        <w:rPr>
          <w:rFonts w:ascii="Constantia" w:hAnsi="Constantia"/>
          <w:b/>
          <w:bCs/>
          <w:sz w:val="24"/>
          <w:szCs w:val="24"/>
          <w:lang w:val="id-ID"/>
        </w:rPr>
        <w:t xml:space="preserve"> </w:t>
      </w:r>
      <w:r w:rsidRPr="00592AB7">
        <w:rPr>
          <w:rFonts w:ascii="Constantia" w:hAnsi="Constantia"/>
          <w:b/>
          <w:bCs/>
          <w:sz w:val="24"/>
          <w:szCs w:val="24"/>
        </w:rPr>
        <w:t>Integrasi Mazhab Fikih dalam Fatwa MUI (2010–2024)</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0"/>
        <w:gridCol w:w="1539"/>
        <w:gridCol w:w="1471"/>
        <w:gridCol w:w="1715"/>
        <w:gridCol w:w="2216"/>
        <w:gridCol w:w="1548"/>
      </w:tblGrid>
      <w:tr w:rsidR="00832F59" w:rsidRPr="00592AB7" w:rsidTr="003D7E4D">
        <w:trPr>
          <w:tblHeader/>
          <w:tblCellSpacing w:w="15" w:type="dxa"/>
        </w:trPr>
        <w:tc>
          <w:tcPr>
            <w:tcW w:w="0" w:type="auto"/>
            <w:vAlign w:val="center"/>
            <w:hideMark/>
          </w:tcPr>
          <w:p w:rsidR="00832F59" w:rsidRPr="00592AB7" w:rsidRDefault="00832F59" w:rsidP="00832F59">
            <w:pPr>
              <w:spacing w:line="240" w:lineRule="auto"/>
              <w:ind w:left="0" w:hanging="2"/>
              <w:jc w:val="both"/>
              <w:rPr>
                <w:rFonts w:ascii="Constantia" w:hAnsi="Constantia"/>
                <w:b/>
                <w:bCs/>
                <w:sz w:val="24"/>
                <w:szCs w:val="24"/>
              </w:rPr>
            </w:pPr>
            <w:r w:rsidRPr="00592AB7">
              <w:rPr>
                <w:rFonts w:ascii="Constantia" w:hAnsi="Constantia"/>
                <w:b/>
                <w:bCs/>
                <w:sz w:val="24"/>
                <w:szCs w:val="24"/>
              </w:rPr>
              <w:t>No</w:t>
            </w:r>
          </w:p>
        </w:tc>
        <w:tc>
          <w:tcPr>
            <w:tcW w:w="0" w:type="auto"/>
            <w:vAlign w:val="center"/>
            <w:hideMark/>
          </w:tcPr>
          <w:p w:rsidR="00832F59" w:rsidRPr="00592AB7" w:rsidRDefault="00832F59" w:rsidP="00832F59">
            <w:pPr>
              <w:spacing w:line="240" w:lineRule="auto"/>
              <w:ind w:left="0" w:hanging="2"/>
              <w:jc w:val="both"/>
              <w:rPr>
                <w:rFonts w:ascii="Constantia" w:hAnsi="Constantia"/>
                <w:b/>
                <w:bCs/>
                <w:sz w:val="24"/>
                <w:szCs w:val="24"/>
              </w:rPr>
            </w:pPr>
            <w:r w:rsidRPr="00592AB7">
              <w:rPr>
                <w:rFonts w:ascii="Constantia" w:hAnsi="Constantia"/>
                <w:b/>
                <w:bCs/>
                <w:sz w:val="24"/>
                <w:szCs w:val="24"/>
              </w:rPr>
              <w:t>Tema Fatwa</w:t>
            </w:r>
          </w:p>
        </w:tc>
        <w:tc>
          <w:tcPr>
            <w:tcW w:w="0" w:type="auto"/>
            <w:vAlign w:val="center"/>
            <w:hideMark/>
          </w:tcPr>
          <w:p w:rsidR="00832F59" w:rsidRPr="00592AB7" w:rsidRDefault="00832F59" w:rsidP="00832F59">
            <w:pPr>
              <w:spacing w:line="240" w:lineRule="auto"/>
              <w:ind w:left="0" w:hanging="2"/>
              <w:jc w:val="both"/>
              <w:rPr>
                <w:rFonts w:ascii="Constantia" w:hAnsi="Constantia"/>
                <w:b/>
                <w:bCs/>
                <w:sz w:val="24"/>
                <w:szCs w:val="24"/>
              </w:rPr>
            </w:pPr>
            <w:r w:rsidRPr="00592AB7">
              <w:rPr>
                <w:rFonts w:ascii="Constantia" w:hAnsi="Constantia"/>
                <w:b/>
                <w:bCs/>
                <w:sz w:val="24"/>
                <w:szCs w:val="24"/>
              </w:rPr>
              <w:t>Mazhab Dominan</w:t>
            </w:r>
          </w:p>
        </w:tc>
        <w:tc>
          <w:tcPr>
            <w:tcW w:w="0" w:type="auto"/>
            <w:vAlign w:val="center"/>
            <w:hideMark/>
          </w:tcPr>
          <w:p w:rsidR="00832F59" w:rsidRPr="00592AB7" w:rsidRDefault="00832F59" w:rsidP="00832F59">
            <w:pPr>
              <w:spacing w:line="240" w:lineRule="auto"/>
              <w:ind w:left="0" w:hanging="2"/>
              <w:jc w:val="both"/>
              <w:rPr>
                <w:rFonts w:ascii="Constantia" w:hAnsi="Constantia"/>
                <w:b/>
                <w:bCs/>
                <w:sz w:val="24"/>
                <w:szCs w:val="24"/>
              </w:rPr>
            </w:pPr>
            <w:r w:rsidRPr="00592AB7">
              <w:rPr>
                <w:rFonts w:ascii="Constantia" w:hAnsi="Constantia"/>
                <w:b/>
                <w:bCs/>
                <w:sz w:val="24"/>
                <w:szCs w:val="24"/>
              </w:rPr>
              <w:t>Mazhab Pendukung</w:t>
            </w:r>
          </w:p>
        </w:tc>
        <w:tc>
          <w:tcPr>
            <w:tcW w:w="0" w:type="auto"/>
            <w:vAlign w:val="center"/>
            <w:hideMark/>
          </w:tcPr>
          <w:p w:rsidR="00832F59" w:rsidRPr="00592AB7" w:rsidRDefault="00832F59" w:rsidP="00832F59">
            <w:pPr>
              <w:spacing w:line="240" w:lineRule="auto"/>
              <w:ind w:left="0" w:hanging="2"/>
              <w:jc w:val="both"/>
              <w:rPr>
                <w:rFonts w:ascii="Constantia" w:hAnsi="Constantia"/>
                <w:b/>
                <w:bCs/>
                <w:sz w:val="24"/>
                <w:szCs w:val="24"/>
              </w:rPr>
            </w:pPr>
            <w:r w:rsidRPr="00592AB7">
              <w:rPr>
                <w:rFonts w:ascii="Constantia" w:hAnsi="Constantia"/>
                <w:b/>
                <w:bCs/>
                <w:sz w:val="24"/>
                <w:szCs w:val="24"/>
              </w:rPr>
              <w:t>Metode Istinbath yang Digunakan</w:t>
            </w:r>
          </w:p>
        </w:tc>
        <w:tc>
          <w:tcPr>
            <w:tcW w:w="0" w:type="auto"/>
            <w:vAlign w:val="center"/>
            <w:hideMark/>
          </w:tcPr>
          <w:p w:rsidR="00832F59" w:rsidRPr="00592AB7" w:rsidRDefault="00832F59" w:rsidP="00832F59">
            <w:pPr>
              <w:spacing w:line="240" w:lineRule="auto"/>
              <w:ind w:left="0" w:hanging="2"/>
              <w:jc w:val="both"/>
              <w:rPr>
                <w:rFonts w:ascii="Constantia" w:hAnsi="Constantia"/>
                <w:b/>
                <w:bCs/>
                <w:sz w:val="24"/>
                <w:szCs w:val="24"/>
              </w:rPr>
            </w:pPr>
            <w:r w:rsidRPr="00592AB7">
              <w:rPr>
                <w:rFonts w:ascii="Constantia" w:hAnsi="Constantia"/>
                <w:b/>
                <w:bCs/>
                <w:sz w:val="24"/>
                <w:szCs w:val="24"/>
              </w:rPr>
              <w:t>Prinsip Kunci</w:t>
            </w:r>
          </w:p>
        </w:tc>
      </w:tr>
      <w:tr w:rsidR="00832F59" w:rsidRPr="00592AB7" w:rsidTr="003D7E4D">
        <w:trPr>
          <w:tblCellSpacing w:w="15" w:type="dxa"/>
        </w:trPr>
        <w:tc>
          <w:tcPr>
            <w:tcW w:w="0" w:type="auto"/>
            <w:vAlign w:val="center"/>
            <w:hideMark/>
          </w:tcPr>
          <w:p w:rsidR="00832F59" w:rsidRPr="00592AB7" w:rsidRDefault="00832F59" w:rsidP="00832F59">
            <w:pPr>
              <w:spacing w:line="240" w:lineRule="auto"/>
              <w:ind w:left="0" w:hanging="2"/>
              <w:jc w:val="center"/>
              <w:rPr>
                <w:rFonts w:ascii="Constantia" w:hAnsi="Constantia"/>
                <w:sz w:val="24"/>
                <w:szCs w:val="24"/>
              </w:rPr>
            </w:pPr>
            <w:r w:rsidRPr="00592AB7">
              <w:rPr>
                <w:rFonts w:ascii="Constantia" w:hAnsi="Constantia"/>
                <w:sz w:val="24"/>
                <w:szCs w:val="24"/>
              </w:rPr>
              <w:t>1</w:t>
            </w:r>
          </w:p>
        </w:tc>
        <w:tc>
          <w:tcPr>
            <w:tcW w:w="0" w:type="auto"/>
            <w:vAlign w:val="center"/>
            <w:hideMark/>
          </w:tcPr>
          <w:p w:rsidR="00832F59" w:rsidRPr="00592AB7" w:rsidRDefault="00832F59" w:rsidP="00832F59">
            <w:pPr>
              <w:spacing w:line="240" w:lineRule="auto"/>
              <w:ind w:left="0" w:hanging="2"/>
              <w:jc w:val="center"/>
              <w:rPr>
                <w:rFonts w:ascii="Constantia" w:hAnsi="Constantia"/>
                <w:sz w:val="24"/>
                <w:szCs w:val="24"/>
              </w:rPr>
            </w:pPr>
            <w:r w:rsidRPr="00592AB7">
              <w:rPr>
                <w:rFonts w:ascii="Constantia" w:hAnsi="Constantia"/>
                <w:sz w:val="24"/>
                <w:szCs w:val="24"/>
              </w:rPr>
              <w:t>Fintech Syariah</w:t>
            </w:r>
          </w:p>
        </w:tc>
        <w:tc>
          <w:tcPr>
            <w:tcW w:w="0" w:type="auto"/>
            <w:vAlign w:val="center"/>
            <w:hideMark/>
          </w:tcPr>
          <w:p w:rsidR="00832F59" w:rsidRPr="00592AB7" w:rsidRDefault="00832F59" w:rsidP="00832F59">
            <w:pPr>
              <w:spacing w:line="240" w:lineRule="auto"/>
              <w:ind w:left="0" w:hanging="2"/>
              <w:jc w:val="center"/>
              <w:rPr>
                <w:rFonts w:ascii="Constantia" w:hAnsi="Constantia"/>
                <w:sz w:val="24"/>
                <w:szCs w:val="24"/>
              </w:rPr>
            </w:pPr>
            <w:r w:rsidRPr="00592AB7">
              <w:rPr>
                <w:rFonts w:ascii="Constantia" w:hAnsi="Constantia"/>
                <w:sz w:val="24"/>
                <w:szCs w:val="24"/>
              </w:rPr>
              <w:t>Hanafi</w:t>
            </w:r>
          </w:p>
        </w:tc>
        <w:tc>
          <w:tcPr>
            <w:tcW w:w="0" w:type="auto"/>
            <w:vAlign w:val="center"/>
            <w:hideMark/>
          </w:tcPr>
          <w:p w:rsidR="00832F59" w:rsidRPr="00592AB7" w:rsidRDefault="00832F59" w:rsidP="00832F59">
            <w:pPr>
              <w:spacing w:line="240" w:lineRule="auto"/>
              <w:ind w:left="0" w:hanging="2"/>
              <w:jc w:val="center"/>
              <w:rPr>
                <w:rFonts w:ascii="Constantia" w:hAnsi="Constantia"/>
                <w:sz w:val="24"/>
                <w:szCs w:val="24"/>
              </w:rPr>
            </w:pPr>
            <w:r w:rsidRPr="00592AB7">
              <w:rPr>
                <w:rFonts w:ascii="Constantia" w:hAnsi="Constantia"/>
                <w:sz w:val="24"/>
                <w:szCs w:val="24"/>
              </w:rPr>
              <w:t>Syafi’i, Maliki</w:t>
            </w:r>
          </w:p>
        </w:tc>
        <w:tc>
          <w:tcPr>
            <w:tcW w:w="0" w:type="auto"/>
            <w:vAlign w:val="center"/>
            <w:hideMark/>
          </w:tcPr>
          <w:p w:rsidR="00832F59" w:rsidRPr="00592AB7" w:rsidRDefault="00832F59" w:rsidP="00832F59">
            <w:pPr>
              <w:spacing w:line="240" w:lineRule="auto"/>
              <w:ind w:left="0" w:hanging="2"/>
              <w:jc w:val="center"/>
              <w:rPr>
                <w:rFonts w:ascii="Constantia" w:hAnsi="Constantia"/>
                <w:sz w:val="24"/>
                <w:szCs w:val="24"/>
              </w:rPr>
            </w:pPr>
            <w:r w:rsidRPr="00592AB7">
              <w:rPr>
                <w:rFonts w:ascii="Constantia" w:hAnsi="Constantia"/>
                <w:sz w:val="24"/>
                <w:szCs w:val="24"/>
              </w:rPr>
              <w:t>Burhani, Bayani</w:t>
            </w:r>
          </w:p>
        </w:tc>
        <w:tc>
          <w:tcPr>
            <w:tcW w:w="0" w:type="auto"/>
            <w:vAlign w:val="center"/>
            <w:hideMark/>
          </w:tcPr>
          <w:p w:rsidR="00832F59" w:rsidRPr="00592AB7" w:rsidRDefault="00832F59" w:rsidP="00832F59">
            <w:pPr>
              <w:spacing w:line="240" w:lineRule="auto"/>
              <w:ind w:left="0" w:hanging="2"/>
              <w:jc w:val="center"/>
              <w:rPr>
                <w:rFonts w:ascii="Constantia" w:hAnsi="Constantia"/>
                <w:sz w:val="24"/>
                <w:szCs w:val="24"/>
              </w:rPr>
            </w:pPr>
            <w:r w:rsidRPr="00592AB7">
              <w:rPr>
                <w:rFonts w:ascii="Constantia" w:hAnsi="Constantia"/>
                <w:sz w:val="24"/>
                <w:szCs w:val="24"/>
              </w:rPr>
              <w:t>Maslahah, Istihsan</w:t>
            </w:r>
          </w:p>
        </w:tc>
      </w:tr>
      <w:tr w:rsidR="00832F59" w:rsidRPr="00592AB7" w:rsidTr="003D7E4D">
        <w:trPr>
          <w:tblCellSpacing w:w="15" w:type="dxa"/>
        </w:trPr>
        <w:tc>
          <w:tcPr>
            <w:tcW w:w="0" w:type="auto"/>
            <w:vAlign w:val="center"/>
            <w:hideMark/>
          </w:tcPr>
          <w:p w:rsidR="00832F59" w:rsidRPr="00592AB7" w:rsidRDefault="00832F59" w:rsidP="00832F59">
            <w:pPr>
              <w:spacing w:line="240" w:lineRule="auto"/>
              <w:ind w:left="0" w:hanging="2"/>
              <w:jc w:val="center"/>
              <w:rPr>
                <w:rFonts w:ascii="Constantia" w:hAnsi="Constantia"/>
                <w:sz w:val="24"/>
                <w:szCs w:val="24"/>
              </w:rPr>
            </w:pPr>
            <w:r w:rsidRPr="00592AB7">
              <w:rPr>
                <w:rFonts w:ascii="Constantia" w:hAnsi="Constantia"/>
                <w:sz w:val="24"/>
                <w:szCs w:val="24"/>
              </w:rPr>
              <w:t>2</w:t>
            </w:r>
          </w:p>
        </w:tc>
        <w:tc>
          <w:tcPr>
            <w:tcW w:w="0" w:type="auto"/>
            <w:vAlign w:val="center"/>
            <w:hideMark/>
          </w:tcPr>
          <w:p w:rsidR="00832F59" w:rsidRPr="00592AB7" w:rsidRDefault="00832F59" w:rsidP="00832F59">
            <w:pPr>
              <w:spacing w:line="240" w:lineRule="auto"/>
              <w:ind w:left="0" w:hanging="2"/>
              <w:jc w:val="center"/>
              <w:rPr>
                <w:rFonts w:ascii="Constantia" w:hAnsi="Constantia"/>
                <w:sz w:val="24"/>
                <w:szCs w:val="24"/>
              </w:rPr>
            </w:pPr>
            <w:r w:rsidRPr="00592AB7">
              <w:rPr>
                <w:rFonts w:ascii="Constantia" w:hAnsi="Constantia"/>
                <w:sz w:val="24"/>
                <w:szCs w:val="24"/>
              </w:rPr>
              <w:t>Vaksinasi COVID-19</w:t>
            </w:r>
          </w:p>
        </w:tc>
        <w:tc>
          <w:tcPr>
            <w:tcW w:w="0" w:type="auto"/>
            <w:vAlign w:val="center"/>
            <w:hideMark/>
          </w:tcPr>
          <w:p w:rsidR="00832F59" w:rsidRPr="00592AB7" w:rsidRDefault="00832F59" w:rsidP="00832F59">
            <w:pPr>
              <w:spacing w:line="240" w:lineRule="auto"/>
              <w:ind w:left="0" w:hanging="2"/>
              <w:jc w:val="center"/>
              <w:rPr>
                <w:rFonts w:ascii="Constantia" w:hAnsi="Constantia"/>
                <w:sz w:val="24"/>
                <w:szCs w:val="24"/>
              </w:rPr>
            </w:pPr>
            <w:r w:rsidRPr="00592AB7">
              <w:rPr>
                <w:rFonts w:ascii="Constantia" w:hAnsi="Constantia"/>
                <w:sz w:val="24"/>
                <w:szCs w:val="24"/>
              </w:rPr>
              <w:t>Syafi’i</w:t>
            </w:r>
          </w:p>
        </w:tc>
        <w:tc>
          <w:tcPr>
            <w:tcW w:w="0" w:type="auto"/>
            <w:vAlign w:val="center"/>
            <w:hideMark/>
          </w:tcPr>
          <w:p w:rsidR="00832F59" w:rsidRPr="00592AB7" w:rsidRDefault="00832F59" w:rsidP="00832F59">
            <w:pPr>
              <w:spacing w:line="240" w:lineRule="auto"/>
              <w:ind w:left="0" w:hanging="2"/>
              <w:jc w:val="center"/>
              <w:rPr>
                <w:rFonts w:ascii="Constantia" w:hAnsi="Constantia"/>
                <w:sz w:val="24"/>
                <w:szCs w:val="24"/>
              </w:rPr>
            </w:pPr>
            <w:r w:rsidRPr="00592AB7">
              <w:rPr>
                <w:rFonts w:ascii="Constantia" w:hAnsi="Constantia"/>
                <w:sz w:val="24"/>
                <w:szCs w:val="24"/>
              </w:rPr>
              <w:t>Hanafi</w:t>
            </w:r>
          </w:p>
        </w:tc>
        <w:tc>
          <w:tcPr>
            <w:tcW w:w="0" w:type="auto"/>
            <w:vAlign w:val="center"/>
            <w:hideMark/>
          </w:tcPr>
          <w:p w:rsidR="00832F59" w:rsidRPr="00592AB7" w:rsidRDefault="00832F59" w:rsidP="00832F59">
            <w:pPr>
              <w:spacing w:line="240" w:lineRule="auto"/>
              <w:ind w:left="0" w:hanging="2"/>
              <w:jc w:val="center"/>
              <w:rPr>
                <w:rFonts w:ascii="Constantia" w:hAnsi="Constantia"/>
                <w:sz w:val="24"/>
                <w:szCs w:val="24"/>
              </w:rPr>
            </w:pPr>
            <w:r w:rsidRPr="00592AB7">
              <w:rPr>
                <w:rFonts w:ascii="Constantia" w:hAnsi="Constantia"/>
                <w:sz w:val="24"/>
                <w:szCs w:val="24"/>
              </w:rPr>
              <w:t>Bayani, Irfani</w:t>
            </w:r>
          </w:p>
        </w:tc>
        <w:tc>
          <w:tcPr>
            <w:tcW w:w="0" w:type="auto"/>
            <w:vAlign w:val="center"/>
            <w:hideMark/>
          </w:tcPr>
          <w:p w:rsidR="00832F59" w:rsidRPr="00592AB7" w:rsidRDefault="00832F59" w:rsidP="00832F59">
            <w:pPr>
              <w:spacing w:line="240" w:lineRule="auto"/>
              <w:ind w:left="0" w:hanging="2"/>
              <w:jc w:val="center"/>
              <w:rPr>
                <w:rFonts w:ascii="Constantia" w:hAnsi="Constantia"/>
                <w:sz w:val="24"/>
                <w:szCs w:val="24"/>
              </w:rPr>
            </w:pPr>
            <w:r w:rsidRPr="00592AB7">
              <w:rPr>
                <w:rFonts w:ascii="Constantia" w:hAnsi="Constantia"/>
                <w:sz w:val="24"/>
                <w:szCs w:val="24"/>
              </w:rPr>
              <w:t>Dharurat, Maqashid</w:t>
            </w:r>
          </w:p>
        </w:tc>
      </w:tr>
      <w:tr w:rsidR="00832F59" w:rsidRPr="00592AB7" w:rsidTr="003D7E4D">
        <w:trPr>
          <w:tblCellSpacing w:w="15" w:type="dxa"/>
        </w:trPr>
        <w:tc>
          <w:tcPr>
            <w:tcW w:w="0" w:type="auto"/>
            <w:vAlign w:val="center"/>
            <w:hideMark/>
          </w:tcPr>
          <w:p w:rsidR="00832F59" w:rsidRPr="00592AB7" w:rsidRDefault="00832F59" w:rsidP="00832F59">
            <w:pPr>
              <w:spacing w:line="240" w:lineRule="auto"/>
              <w:ind w:left="0" w:hanging="2"/>
              <w:jc w:val="center"/>
              <w:rPr>
                <w:rFonts w:ascii="Constantia" w:hAnsi="Constantia"/>
                <w:sz w:val="24"/>
                <w:szCs w:val="24"/>
              </w:rPr>
            </w:pPr>
            <w:r w:rsidRPr="00592AB7">
              <w:rPr>
                <w:rFonts w:ascii="Constantia" w:hAnsi="Constantia"/>
                <w:sz w:val="24"/>
                <w:szCs w:val="24"/>
              </w:rPr>
              <w:t>3</w:t>
            </w:r>
          </w:p>
        </w:tc>
        <w:tc>
          <w:tcPr>
            <w:tcW w:w="0" w:type="auto"/>
            <w:vAlign w:val="center"/>
            <w:hideMark/>
          </w:tcPr>
          <w:p w:rsidR="00832F59" w:rsidRPr="00592AB7" w:rsidRDefault="00832F59" w:rsidP="00832F59">
            <w:pPr>
              <w:spacing w:line="240" w:lineRule="auto"/>
              <w:ind w:left="0" w:hanging="2"/>
              <w:jc w:val="center"/>
              <w:rPr>
                <w:rFonts w:ascii="Constantia" w:hAnsi="Constantia"/>
                <w:sz w:val="24"/>
                <w:szCs w:val="24"/>
              </w:rPr>
            </w:pPr>
            <w:r w:rsidRPr="00592AB7">
              <w:rPr>
                <w:rFonts w:ascii="Constantia" w:hAnsi="Constantia"/>
                <w:sz w:val="24"/>
                <w:szCs w:val="24"/>
              </w:rPr>
              <w:t>Asuransi Syariah</w:t>
            </w:r>
          </w:p>
        </w:tc>
        <w:tc>
          <w:tcPr>
            <w:tcW w:w="0" w:type="auto"/>
            <w:vAlign w:val="center"/>
            <w:hideMark/>
          </w:tcPr>
          <w:p w:rsidR="00832F59" w:rsidRPr="00592AB7" w:rsidRDefault="00832F59" w:rsidP="00832F59">
            <w:pPr>
              <w:spacing w:line="240" w:lineRule="auto"/>
              <w:ind w:left="0" w:hanging="2"/>
              <w:jc w:val="center"/>
              <w:rPr>
                <w:rFonts w:ascii="Constantia" w:hAnsi="Constantia"/>
                <w:sz w:val="24"/>
                <w:szCs w:val="24"/>
              </w:rPr>
            </w:pPr>
            <w:r w:rsidRPr="00592AB7">
              <w:rPr>
                <w:rFonts w:ascii="Constantia" w:hAnsi="Constantia"/>
                <w:sz w:val="24"/>
                <w:szCs w:val="24"/>
              </w:rPr>
              <w:t>Maliki</w:t>
            </w:r>
          </w:p>
        </w:tc>
        <w:tc>
          <w:tcPr>
            <w:tcW w:w="0" w:type="auto"/>
            <w:vAlign w:val="center"/>
            <w:hideMark/>
          </w:tcPr>
          <w:p w:rsidR="00832F59" w:rsidRPr="00592AB7" w:rsidRDefault="00832F59" w:rsidP="00832F59">
            <w:pPr>
              <w:spacing w:line="240" w:lineRule="auto"/>
              <w:ind w:left="0" w:hanging="2"/>
              <w:jc w:val="center"/>
              <w:rPr>
                <w:rFonts w:ascii="Constantia" w:hAnsi="Constantia"/>
                <w:sz w:val="24"/>
                <w:szCs w:val="24"/>
              </w:rPr>
            </w:pPr>
            <w:r w:rsidRPr="00592AB7">
              <w:rPr>
                <w:rFonts w:ascii="Constantia" w:hAnsi="Constantia"/>
                <w:sz w:val="24"/>
                <w:szCs w:val="24"/>
              </w:rPr>
              <w:t>Hanafi, Syafi’i</w:t>
            </w:r>
          </w:p>
        </w:tc>
        <w:tc>
          <w:tcPr>
            <w:tcW w:w="0" w:type="auto"/>
            <w:vAlign w:val="center"/>
            <w:hideMark/>
          </w:tcPr>
          <w:p w:rsidR="00832F59" w:rsidRPr="00592AB7" w:rsidRDefault="00832F59" w:rsidP="00832F59">
            <w:pPr>
              <w:spacing w:line="240" w:lineRule="auto"/>
              <w:ind w:left="0" w:hanging="2"/>
              <w:jc w:val="center"/>
              <w:rPr>
                <w:rFonts w:ascii="Constantia" w:hAnsi="Constantia"/>
                <w:sz w:val="24"/>
                <w:szCs w:val="24"/>
              </w:rPr>
            </w:pPr>
            <w:r w:rsidRPr="00592AB7">
              <w:rPr>
                <w:rFonts w:ascii="Constantia" w:hAnsi="Constantia"/>
                <w:sz w:val="24"/>
                <w:szCs w:val="24"/>
              </w:rPr>
              <w:t>Burhani, Bayani</w:t>
            </w:r>
          </w:p>
        </w:tc>
        <w:tc>
          <w:tcPr>
            <w:tcW w:w="0" w:type="auto"/>
            <w:vAlign w:val="center"/>
            <w:hideMark/>
          </w:tcPr>
          <w:p w:rsidR="00832F59" w:rsidRPr="00592AB7" w:rsidRDefault="00832F59" w:rsidP="00832F59">
            <w:pPr>
              <w:spacing w:line="240" w:lineRule="auto"/>
              <w:ind w:left="0" w:hanging="2"/>
              <w:jc w:val="center"/>
              <w:rPr>
                <w:rFonts w:ascii="Constantia" w:hAnsi="Constantia"/>
                <w:sz w:val="24"/>
                <w:szCs w:val="24"/>
              </w:rPr>
            </w:pPr>
            <w:r w:rsidRPr="00592AB7">
              <w:rPr>
                <w:rFonts w:ascii="Constantia" w:hAnsi="Constantia"/>
                <w:sz w:val="24"/>
                <w:szCs w:val="24"/>
              </w:rPr>
              <w:t>Ta’awun, Istislah</w:t>
            </w:r>
          </w:p>
        </w:tc>
      </w:tr>
      <w:tr w:rsidR="00832F59" w:rsidRPr="00592AB7" w:rsidTr="003D7E4D">
        <w:trPr>
          <w:tblCellSpacing w:w="15" w:type="dxa"/>
        </w:trPr>
        <w:tc>
          <w:tcPr>
            <w:tcW w:w="0" w:type="auto"/>
            <w:vAlign w:val="center"/>
            <w:hideMark/>
          </w:tcPr>
          <w:p w:rsidR="00832F59" w:rsidRPr="00592AB7" w:rsidRDefault="00832F59" w:rsidP="00832F59">
            <w:pPr>
              <w:spacing w:line="240" w:lineRule="auto"/>
              <w:ind w:left="0" w:hanging="2"/>
              <w:jc w:val="center"/>
              <w:rPr>
                <w:rFonts w:ascii="Constantia" w:hAnsi="Constantia"/>
                <w:sz w:val="24"/>
                <w:szCs w:val="24"/>
              </w:rPr>
            </w:pPr>
            <w:r w:rsidRPr="00592AB7">
              <w:rPr>
                <w:rFonts w:ascii="Constantia" w:hAnsi="Constantia"/>
                <w:sz w:val="24"/>
                <w:szCs w:val="24"/>
              </w:rPr>
              <w:t>4</w:t>
            </w:r>
          </w:p>
        </w:tc>
        <w:tc>
          <w:tcPr>
            <w:tcW w:w="0" w:type="auto"/>
            <w:vAlign w:val="center"/>
            <w:hideMark/>
          </w:tcPr>
          <w:p w:rsidR="00832F59" w:rsidRPr="00592AB7" w:rsidRDefault="00832F59" w:rsidP="00832F59">
            <w:pPr>
              <w:spacing w:line="240" w:lineRule="auto"/>
              <w:ind w:left="0" w:hanging="2"/>
              <w:jc w:val="center"/>
              <w:rPr>
                <w:rFonts w:ascii="Constantia" w:hAnsi="Constantia"/>
                <w:sz w:val="24"/>
                <w:szCs w:val="24"/>
              </w:rPr>
            </w:pPr>
            <w:r w:rsidRPr="00592AB7">
              <w:rPr>
                <w:rFonts w:ascii="Constantia" w:hAnsi="Constantia"/>
                <w:sz w:val="24"/>
                <w:szCs w:val="24"/>
              </w:rPr>
              <w:t>Etika Media Sosial</w:t>
            </w:r>
          </w:p>
        </w:tc>
        <w:tc>
          <w:tcPr>
            <w:tcW w:w="0" w:type="auto"/>
            <w:vAlign w:val="center"/>
            <w:hideMark/>
          </w:tcPr>
          <w:p w:rsidR="00832F59" w:rsidRPr="00592AB7" w:rsidRDefault="00832F59" w:rsidP="00832F59">
            <w:pPr>
              <w:spacing w:line="240" w:lineRule="auto"/>
              <w:ind w:left="0" w:hanging="2"/>
              <w:jc w:val="center"/>
              <w:rPr>
                <w:rFonts w:ascii="Constantia" w:hAnsi="Constantia"/>
                <w:sz w:val="24"/>
                <w:szCs w:val="24"/>
              </w:rPr>
            </w:pPr>
            <w:r w:rsidRPr="00592AB7">
              <w:rPr>
                <w:rFonts w:ascii="Constantia" w:hAnsi="Constantia"/>
                <w:sz w:val="24"/>
                <w:szCs w:val="24"/>
              </w:rPr>
              <w:t>Syafi’i</w:t>
            </w:r>
          </w:p>
        </w:tc>
        <w:tc>
          <w:tcPr>
            <w:tcW w:w="0" w:type="auto"/>
            <w:vAlign w:val="center"/>
            <w:hideMark/>
          </w:tcPr>
          <w:p w:rsidR="00832F59" w:rsidRPr="00592AB7" w:rsidRDefault="00832F59" w:rsidP="00832F59">
            <w:pPr>
              <w:spacing w:line="240" w:lineRule="auto"/>
              <w:ind w:left="0" w:hanging="2"/>
              <w:jc w:val="center"/>
              <w:rPr>
                <w:rFonts w:ascii="Constantia" w:hAnsi="Constantia"/>
                <w:sz w:val="24"/>
                <w:szCs w:val="24"/>
              </w:rPr>
            </w:pPr>
            <w:r w:rsidRPr="00592AB7">
              <w:rPr>
                <w:rFonts w:ascii="Constantia" w:hAnsi="Constantia"/>
                <w:sz w:val="24"/>
                <w:szCs w:val="24"/>
              </w:rPr>
              <w:t>Hanbali</w:t>
            </w:r>
          </w:p>
        </w:tc>
        <w:tc>
          <w:tcPr>
            <w:tcW w:w="0" w:type="auto"/>
            <w:vAlign w:val="center"/>
            <w:hideMark/>
          </w:tcPr>
          <w:p w:rsidR="00832F59" w:rsidRPr="00592AB7" w:rsidRDefault="00832F59" w:rsidP="00832F59">
            <w:pPr>
              <w:spacing w:line="240" w:lineRule="auto"/>
              <w:ind w:left="0" w:hanging="2"/>
              <w:jc w:val="center"/>
              <w:rPr>
                <w:rFonts w:ascii="Constantia" w:hAnsi="Constantia"/>
                <w:sz w:val="24"/>
                <w:szCs w:val="24"/>
              </w:rPr>
            </w:pPr>
            <w:r w:rsidRPr="00592AB7">
              <w:rPr>
                <w:rFonts w:ascii="Constantia" w:hAnsi="Constantia"/>
                <w:sz w:val="24"/>
                <w:szCs w:val="24"/>
              </w:rPr>
              <w:t>Irfani, Burhani</w:t>
            </w:r>
          </w:p>
        </w:tc>
        <w:tc>
          <w:tcPr>
            <w:tcW w:w="0" w:type="auto"/>
            <w:vAlign w:val="center"/>
            <w:hideMark/>
          </w:tcPr>
          <w:p w:rsidR="00832F59" w:rsidRPr="00592AB7" w:rsidRDefault="00832F59" w:rsidP="00832F59">
            <w:pPr>
              <w:spacing w:line="240" w:lineRule="auto"/>
              <w:ind w:left="0" w:hanging="2"/>
              <w:jc w:val="center"/>
              <w:rPr>
                <w:rFonts w:ascii="Constantia" w:hAnsi="Constantia"/>
                <w:sz w:val="24"/>
                <w:szCs w:val="24"/>
              </w:rPr>
            </w:pPr>
            <w:r w:rsidRPr="00592AB7">
              <w:rPr>
                <w:rFonts w:ascii="Constantia" w:hAnsi="Constantia"/>
                <w:sz w:val="24"/>
                <w:szCs w:val="24"/>
              </w:rPr>
              <w:t>‘Urf, Sadd al-Dzari’ah</w:t>
            </w:r>
          </w:p>
        </w:tc>
      </w:tr>
      <w:tr w:rsidR="00832F59" w:rsidRPr="00592AB7" w:rsidTr="003D7E4D">
        <w:trPr>
          <w:tblCellSpacing w:w="15" w:type="dxa"/>
        </w:trPr>
        <w:tc>
          <w:tcPr>
            <w:tcW w:w="0" w:type="auto"/>
            <w:vAlign w:val="center"/>
            <w:hideMark/>
          </w:tcPr>
          <w:p w:rsidR="00832F59" w:rsidRPr="00592AB7" w:rsidRDefault="00832F59" w:rsidP="00832F59">
            <w:pPr>
              <w:spacing w:line="240" w:lineRule="auto"/>
              <w:ind w:left="0" w:hanging="2"/>
              <w:jc w:val="center"/>
              <w:rPr>
                <w:rFonts w:ascii="Constantia" w:hAnsi="Constantia"/>
                <w:sz w:val="24"/>
                <w:szCs w:val="24"/>
              </w:rPr>
            </w:pPr>
            <w:r w:rsidRPr="00592AB7">
              <w:rPr>
                <w:rFonts w:ascii="Constantia" w:hAnsi="Constantia"/>
                <w:sz w:val="24"/>
                <w:szCs w:val="24"/>
              </w:rPr>
              <w:t>5</w:t>
            </w:r>
          </w:p>
        </w:tc>
        <w:tc>
          <w:tcPr>
            <w:tcW w:w="0" w:type="auto"/>
            <w:vAlign w:val="center"/>
            <w:hideMark/>
          </w:tcPr>
          <w:p w:rsidR="00832F59" w:rsidRPr="00592AB7" w:rsidRDefault="00832F59" w:rsidP="00832F59">
            <w:pPr>
              <w:spacing w:line="240" w:lineRule="auto"/>
              <w:ind w:left="0" w:hanging="2"/>
              <w:jc w:val="center"/>
              <w:rPr>
                <w:rFonts w:ascii="Constantia" w:hAnsi="Constantia"/>
                <w:sz w:val="24"/>
                <w:szCs w:val="24"/>
              </w:rPr>
            </w:pPr>
            <w:r w:rsidRPr="00592AB7">
              <w:rPr>
                <w:rFonts w:ascii="Constantia" w:hAnsi="Constantia"/>
                <w:sz w:val="24"/>
                <w:szCs w:val="24"/>
              </w:rPr>
              <w:t>Kripto dan Aset Digital</w:t>
            </w:r>
          </w:p>
        </w:tc>
        <w:tc>
          <w:tcPr>
            <w:tcW w:w="0" w:type="auto"/>
            <w:vAlign w:val="center"/>
            <w:hideMark/>
          </w:tcPr>
          <w:p w:rsidR="00832F59" w:rsidRPr="00592AB7" w:rsidRDefault="00832F59" w:rsidP="00832F59">
            <w:pPr>
              <w:spacing w:line="240" w:lineRule="auto"/>
              <w:ind w:left="0" w:hanging="2"/>
              <w:jc w:val="center"/>
              <w:rPr>
                <w:rFonts w:ascii="Constantia" w:hAnsi="Constantia"/>
                <w:sz w:val="24"/>
                <w:szCs w:val="24"/>
              </w:rPr>
            </w:pPr>
            <w:r w:rsidRPr="00592AB7">
              <w:rPr>
                <w:rFonts w:ascii="Constantia" w:hAnsi="Constantia"/>
                <w:sz w:val="24"/>
                <w:szCs w:val="24"/>
              </w:rPr>
              <w:t>Hanafi</w:t>
            </w:r>
          </w:p>
        </w:tc>
        <w:tc>
          <w:tcPr>
            <w:tcW w:w="0" w:type="auto"/>
            <w:vAlign w:val="center"/>
            <w:hideMark/>
          </w:tcPr>
          <w:p w:rsidR="00832F59" w:rsidRPr="00592AB7" w:rsidRDefault="00832F59" w:rsidP="00832F59">
            <w:pPr>
              <w:spacing w:line="240" w:lineRule="auto"/>
              <w:ind w:left="0" w:hanging="2"/>
              <w:jc w:val="center"/>
              <w:rPr>
                <w:rFonts w:ascii="Constantia" w:hAnsi="Constantia"/>
                <w:sz w:val="24"/>
                <w:szCs w:val="24"/>
              </w:rPr>
            </w:pPr>
            <w:r w:rsidRPr="00592AB7">
              <w:rPr>
                <w:rFonts w:ascii="Constantia" w:hAnsi="Constantia"/>
                <w:sz w:val="24"/>
                <w:szCs w:val="24"/>
              </w:rPr>
              <w:t>Maliki</w:t>
            </w:r>
          </w:p>
        </w:tc>
        <w:tc>
          <w:tcPr>
            <w:tcW w:w="0" w:type="auto"/>
            <w:vAlign w:val="center"/>
            <w:hideMark/>
          </w:tcPr>
          <w:p w:rsidR="00832F59" w:rsidRPr="00592AB7" w:rsidRDefault="00832F59" w:rsidP="00832F59">
            <w:pPr>
              <w:spacing w:line="240" w:lineRule="auto"/>
              <w:ind w:left="0" w:hanging="2"/>
              <w:jc w:val="center"/>
              <w:rPr>
                <w:rFonts w:ascii="Constantia" w:hAnsi="Constantia"/>
                <w:sz w:val="24"/>
                <w:szCs w:val="24"/>
              </w:rPr>
            </w:pPr>
            <w:r w:rsidRPr="00592AB7">
              <w:rPr>
                <w:rFonts w:ascii="Constantia" w:hAnsi="Constantia"/>
                <w:sz w:val="24"/>
                <w:szCs w:val="24"/>
              </w:rPr>
              <w:t>Burhani, Bayani</w:t>
            </w:r>
          </w:p>
        </w:tc>
        <w:tc>
          <w:tcPr>
            <w:tcW w:w="0" w:type="auto"/>
            <w:vAlign w:val="center"/>
            <w:hideMark/>
          </w:tcPr>
          <w:p w:rsidR="00832F59" w:rsidRPr="00592AB7" w:rsidRDefault="00832F59" w:rsidP="00832F59">
            <w:pPr>
              <w:spacing w:line="240" w:lineRule="auto"/>
              <w:ind w:left="0" w:hanging="2"/>
              <w:jc w:val="center"/>
              <w:rPr>
                <w:rFonts w:ascii="Constantia" w:hAnsi="Constantia"/>
                <w:sz w:val="24"/>
                <w:szCs w:val="24"/>
              </w:rPr>
            </w:pPr>
            <w:r w:rsidRPr="00592AB7">
              <w:rPr>
                <w:rFonts w:ascii="Constantia" w:hAnsi="Constantia"/>
                <w:sz w:val="24"/>
                <w:szCs w:val="24"/>
              </w:rPr>
              <w:t>Gharar, Maqashid</w:t>
            </w:r>
          </w:p>
        </w:tc>
      </w:tr>
    </w:tbl>
    <w:p w:rsidR="00832F59" w:rsidRPr="00592AB7" w:rsidRDefault="00832F59" w:rsidP="00832F59">
      <w:pPr>
        <w:spacing w:line="240" w:lineRule="auto"/>
        <w:ind w:left="0" w:hanging="2"/>
        <w:jc w:val="both"/>
        <w:rPr>
          <w:rFonts w:ascii="Constantia" w:hAnsi="Constantia"/>
          <w:sz w:val="24"/>
          <w:szCs w:val="24"/>
          <w:lang w:val="id-ID"/>
        </w:rPr>
      </w:pPr>
      <w:r w:rsidRPr="00592AB7">
        <w:rPr>
          <w:rFonts w:ascii="Constantia" w:hAnsi="Constantia"/>
          <w:sz w:val="24"/>
          <w:szCs w:val="24"/>
        </w:rPr>
        <w:t>Dari tabel di atas, terlihat bahwa pendekatan lintas mazhab tidak hanya memperluas ruang ijtihad, tetapi juga memungkinkan MUI untuk merespons isu-isu baru dengan fleksibilitas metodologis. Namun, seperti yang dikritisi oleh Wijaya (2019), tantangan utama dari pendekatan ini adalah menjaga konsistensi metodologi dan transparansi dalam proses pengambilan keputusan.</w:t>
      </w:r>
    </w:p>
    <w:p w:rsidR="00487EF5" w:rsidRPr="00592AB7" w:rsidRDefault="00832F59" w:rsidP="00832F59">
      <w:pPr>
        <w:spacing w:line="240" w:lineRule="auto"/>
        <w:ind w:left="0" w:hanging="2"/>
        <w:jc w:val="both"/>
        <w:rPr>
          <w:rFonts w:ascii="Constantia" w:eastAsia="Constantia" w:hAnsi="Constantia" w:cs="Constantia"/>
          <w:b/>
          <w:sz w:val="24"/>
          <w:szCs w:val="24"/>
          <w:lang w:val="id-ID"/>
        </w:rPr>
      </w:pPr>
      <w:r w:rsidRPr="00592AB7">
        <w:rPr>
          <w:rFonts w:ascii="Constantia" w:hAnsi="Constantia"/>
          <w:sz w:val="24"/>
          <w:szCs w:val="24"/>
          <w:lang w:val="id-ID"/>
        </w:rPr>
        <w:t>Penelitian oleh Andini (2022) juga menunjukkan bahwa kaidah fikih yang digunakan dalam fatwa DSN-MUI sebagian besar berasal dari kaidah besar lintas mazhab, seperti “Yakin tidak gugur dengan keraguan” dan “Kemudaratan harus dihilangkan,” yang menunjukkan bahwa integrasi mazhab bukan hanya bersifat simbolik, tetapi juga substantif dalam pertimbangan hukum.</w:t>
      </w:r>
    </w:p>
    <w:p w:rsidR="00832F59" w:rsidRPr="00592AB7" w:rsidRDefault="00832F59" w:rsidP="00832F59">
      <w:pPr>
        <w:spacing w:line="240" w:lineRule="auto"/>
        <w:ind w:left="0" w:hanging="2"/>
        <w:jc w:val="both"/>
        <w:rPr>
          <w:rFonts w:ascii="Constantia" w:eastAsia="Constantia" w:hAnsi="Constantia" w:cs="Constantia"/>
          <w:b/>
          <w:sz w:val="24"/>
          <w:szCs w:val="24"/>
          <w:lang w:val="id-ID"/>
        </w:rPr>
      </w:pPr>
    </w:p>
    <w:p w:rsidR="00A36FC2" w:rsidRPr="00592AB7" w:rsidRDefault="00722657" w:rsidP="00A36FC2">
      <w:pPr>
        <w:spacing w:line="240" w:lineRule="auto"/>
        <w:ind w:left="0" w:hanging="2"/>
        <w:jc w:val="both"/>
        <w:rPr>
          <w:rFonts w:ascii="Constantia" w:eastAsia="Constantia" w:hAnsi="Constantia" w:cs="Constantia"/>
          <w:sz w:val="24"/>
          <w:szCs w:val="24"/>
          <w:lang w:val="id-ID"/>
        </w:rPr>
      </w:pPr>
      <w:r w:rsidRPr="00592AB7">
        <w:rPr>
          <w:rFonts w:ascii="Constantia" w:eastAsia="Constantia" w:hAnsi="Constantia" w:cs="Constantia"/>
          <w:b/>
          <w:sz w:val="24"/>
          <w:szCs w:val="24"/>
          <w:lang w:val="id-ID"/>
        </w:rPr>
        <w:t>Kesimpulan</w:t>
      </w:r>
    </w:p>
    <w:p w:rsidR="00A36FC2" w:rsidRPr="00592AB7" w:rsidRDefault="00A36FC2" w:rsidP="00A36FC2">
      <w:pPr>
        <w:spacing w:line="240" w:lineRule="auto"/>
        <w:ind w:left="0" w:hanging="2"/>
        <w:jc w:val="both"/>
        <w:rPr>
          <w:rFonts w:ascii="Constantia" w:eastAsia="Constantia" w:hAnsi="Constantia" w:cs="Constantia"/>
          <w:sz w:val="24"/>
          <w:szCs w:val="24"/>
          <w:lang w:val="id-ID"/>
        </w:rPr>
      </w:pPr>
      <w:r w:rsidRPr="00592AB7">
        <w:rPr>
          <w:rFonts w:ascii="Constantia" w:eastAsia="Constantia" w:hAnsi="Constantia" w:cs="Constantia"/>
          <w:sz w:val="24"/>
          <w:szCs w:val="24"/>
          <w:lang w:val="id-ID"/>
        </w:rPr>
        <w:t>M</w:t>
      </w:r>
      <w:r w:rsidRPr="00592AB7">
        <w:rPr>
          <w:rFonts w:ascii="Constantia" w:hAnsi="Constantia"/>
          <w:sz w:val="24"/>
          <w:szCs w:val="24"/>
        </w:rPr>
        <w:t xml:space="preserve">ajelis Ulama Indonesia (MUI) telah menerapkan pendekatan integratif terhadap mazhab fikih dalam proses pembentukan fatwa, terutama dalam merespons isu-isu kontemporer yang kompleks dan multidimensi. Pendekatan ini tidak hanya mengandalkan mazhab Syafi’i sebagai tradisi dominan di Indonesia, tetapi juga membuka ruang bagi pendapat mazhab Hanafi, Maliki, dan Hanbali, sesuai dengan prinsip </w:t>
      </w:r>
      <w:r w:rsidRPr="00592AB7">
        <w:rPr>
          <w:rStyle w:val="Emphasis"/>
          <w:rFonts w:ascii="Constantia" w:hAnsi="Constantia"/>
          <w:sz w:val="24"/>
          <w:szCs w:val="24"/>
        </w:rPr>
        <w:t>maqashid syariah</w:t>
      </w:r>
      <w:r w:rsidRPr="00592AB7">
        <w:rPr>
          <w:rFonts w:ascii="Constantia" w:hAnsi="Constantia"/>
          <w:sz w:val="24"/>
          <w:szCs w:val="24"/>
        </w:rPr>
        <w:t xml:space="preserve">, </w:t>
      </w:r>
      <w:r w:rsidRPr="00592AB7">
        <w:rPr>
          <w:rStyle w:val="Emphasis"/>
          <w:rFonts w:ascii="Constantia" w:hAnsi="Constantia"/>
          <w:sz w:val="24"/>
          <w:szCs w:val="24"/>
        </w:rPr>
        <w:t>maslahah</w:t>
      </w:r>
      <w:r w:rsidRPr="00592AB7">
        <w:rPr>
          <w:rFonts w:ascii="Constantia" w:hAnsi="Constantia"/>
          <w:sz w:val="24"/>
          <w:szCs w:val="24"/>
        </w:rPr>
        <w:t xml:space="preserve">, dan </w:t>
      </w:r>
      <w:r w:rsidRPr="00592AB7">
        <w:rPr>
          <w:rStyle w:val="Emphasis"/>
          <w:rFonts w:ascii="Constantia" w:hAnsi="Constantia"/>
          <w:sz w:val="24"/>
          <w:szCs w:val="24"/>
        </w:rPr>
        <w:t>‘urf</w:t>
      </w:r>
      <w:r w:rsidRPr="00592AB7">
        <w:rPr>
          <w:rFonts w:ascii="Constantia" w:hAnsi="Constantia"/>
          <w:sz w:val="24"/>
          <w:szCs w:val="24"/>
        </w:rPr>
        <w:t xml:space="preserve"> lokal. Melalui metode </w:t>
      </w:r>
      <w:r w:rsidRPr="00592AB7">
        <w:rPr>
          <w:rStyle w:val="Emphasis"/>
          <w:rFonts w:ascii="Constantia" w:hAnsi="Constantia"/>
          <w:sz w:val="24"/>
          <w:szCs w:val="24"/>
        </w:rPr>
        <w:t>bayani</w:t>
      </w:r>
      <w:r w:rsidRPr="00592AB7">
        <w:rPr>
          <w:rFonts w:ascii="Constantia" w:hAnsi="Constantia"/>
          <w:sz w:val="24"/>
          <w:szCs w:val="24"/>
        </w:rPr>
        <w:t xml:space="preserve">, </w:t>
      </w:r>
      <w:r w:rsidRPr="00592AB7">
        <w:rPr>
          <w:rStyle w:val="Emphasis"/>
          <w:rFonts w:ascii="Constantia" w:hAnsi="Constantia"/>
          <w:sz w:val="24"/>
          <w:szCs w:val="24"/>
        </w:rPr>
        <w:t>burhani</w:t>
      </w:r>
      <w:r w:rsidRPr="00592AB7">
        <w:rPr>
          <w:rFonts w:ascii="Constantia" w:hAnsi="Constantia"/>
          <w:sz w:val="24"/>
          <w:szCs w:val="24"/>
        </w:rPr>
        <w:t xml:space="preserve">, dan </w:t>
      </w:r>
      <w:r w:rsidRPr="00592AB7">
        <w:rPr>
          <w:rStyle w:val="Emphasis"/>
          <w:rFonts w:ascii="Constantia" w:hAnsi="Constantia"/>
          <w:sz w:val="24"/>
          <w:szCs w:val="24"/>
        </w:rPr>
        <w:t>irfani</w:t>
      </w:r>
      <w:r w:rsidRPr="00592AB7">
        <w:rPr>
          <w:rFonts w:ascii="Constantia" w:hAnsi="Constantia"/>
          <w:sz w:val="24"/>
          <w:szCs w:val="24"/>
        </w:rPr>
        <w:t>, MUI mampu merumuskan fatwa yang bersifat kontekstual, inklusif, dan adaptif terhadap perubahan zaman.</w:t>
      </w:r>
    </w:p>
    <w:p w:rsidR="00A36FC2" w:rsidRPr="00592AB7" w:rsidRDefault="00A36FC2" w:rsidP="00A36FC2">
      <w:pPr>
        <w:spacing w:line="240" w:lineRule="auto"/>
        <w:ind w:left="0" w:hanging="2"/>
        <w:jc w:val="both"/>
        <w:rPr>
          <w:rFonts w:ascii="Constantia" w:hAnsi="Constantia"/>
          <w:sz w:val="24"/>
          <w:szCs w:val="24"/>
          <w:lang w:val="id-ID"/>
        </w:rPr>
      </w:pPr>
      <w:r w:rsidRPr="00592AB7">
        <w:rPr>
          <w:rFonts w:ascii="Constantia" w:hAnsi="Constantia"/>
          <w:sz w:val="24"/>
          <w:szCs w:val="24"/>
          <w:lang w:val="id-ID"/>
        </w:rPr>
        <w:t xml:space="preserve">Praktik </w:t>
      </w:r>
      <w:r w:rsidRPr="00592AB7">
        <w:rPr>
          <w:rStyle w:val="Emphasis"/>
          <w:rFonts w:ascii="Constantia" w:hAnsi="Constantia"/>
          <w:sz w:val="24"/>
          <w:szCs w:val="24"/>
          <w:lang w:val="id-ID"/>
        </w:rPr>
        <w:t>ijtihad jama’i</w:t>
      </w:r>
      <w:r w:rsidRPr="00592AB7">
        <w:rPr>
          <w:rFonts w:ascii="Constantia" w:hAnsi="Constantia"/>
          <w:sz w:val="24"/>
          <w:szCs w:val="24"/>
          <w:lang w:val="id-ID"/>
        </w:rPr>
        <w:t xml:space="preserve"> yang dilakukan oleh MUI memperkaya khazanah hukum Islam di Indonesia dan mencerminkan fleksibilitas epistemologis yang dibutuhkan dalam era digital dan globalisasi. </w:t>
      </w:r>
      <w:r w:rsidRPr="00592AB7">
        <w:rPr>
          <w:rFonts w:ascii="Constantia" w:hAnsi="Constantia"/>
          <w:sz w:val="24"/>
          <w:szCs w:val="24"/>
        </w:rPr>
        <w:t xml:space="preserve">Namun, tantangan tetap ada, terutama dalam hal konsistensi metodologis, transparansi proses istinbath, dan legitimasi publik. penguatan kerangka kerja epistemologis yang sistematis dan terdokumentasi </w:t>
      </w:r>
      <w:r w:rsidRPr="00592AB7">
        <w:rPr>
          <w:rFonts w:ascii="Constantia" w:hAnsi="Constantia"/>
          <w:sz w:val="24"/>
          <w:szCs w:val="24"/>
        </w:rPr>
        <w:lastRenderedPageBreak/>
        <w:t>menjadi kebutuhan mendesak agar fatwa-fatwa MUI tidak hanya sah secara syar’i, tetapi juga dapat diterima secara luas oleh masyarakat yang beragam.</w:t>
      </w:r>
    </w:p>
    <w:p w:rsidR="00A36FC2" w:rsidRPr="00592AB7" w:rsidRDefault="00A36FC2" w:rsidP="00A36FC2">
      <w:pPr>
        <w:spacing w:line="240" w:lineRule="auto"/>
        <w:ind w:left="0" w:hanging="2"/>
        <w:jc w:val="both"/>
        <w:rPr>
          <w:rFonts w:ascii="Constantia" w:hAnsi="Constantia"/>
          <w:sz w:val="24"/>
          <w:szCs w:val="24"/>
          <w:lang w:val="id-ID"/>
        </w:rPr>
      </w:pPr>
      <w:r w:rsidRPr="00592AB7">
        <w:rPr>
          <w:rFonts w:ascii="Constantia" w:hAnsi="Constantia"/>
          <w:sz w:val="24"/>
          <w:szCs w:val="24"/>
        </w:rPr>
        <w:t>Dengan demikian, integrasi mazhab fikih dalam fatwa MUI bukan sekadar strategi hukum, melainkan juga bentuk komitmen terhadap keberagaman, keadilan, dan kemaslahatan umat. Penelitian ini merekomendasikan agar MUI terus mengembangkan kapasitas metodologis para mufti, memperluas kajian lintas mazhab, dan melibatkan publik dalam proses fatwa secara lebih terbuka. Hal ini penting agar fatwa tidak hanya menjadi produk hukum, tetapi juga instrumen sosial yang membentuk kesadaran keagamaan yang progresif dan berkeadilan.</w:t>
      </w:r>
    </w:p>
    <w:p w:rsidR="001A74BD" w:rsidRPr="00592AB7" w:rsidRDefault="000F0CFD" w:rsidP="008B2583">
      <w:pPr>
        <w:spacing w:line="240" w:lineRule="auto"/>
        <w:ind w:left="0" w:hanging="2"/>
        <w:jc w:val="both"/>
        <w:rPr>
          <w:rFonts w:ascii="Constantia" w:eastAsia="Constantia" w:hAnsi="Constantia" w:cs="Constantia"/>
          <w:sz w:val="24"/>
          <w:szCs w:val="24"/>
        </w:rPr>
      </w:pPr>
      <w:r w:rsidRPr="00592AB7">
        <w:rPr>
          <w:rFonts w:ascii="Constantia" w:eastAsia="Constantia" w:hAnsi="Constantia" w:cs="Constantia"/>
          <w:sz w:val="24"/>
          <w:szCs w:val="24"/>
        </w:rPr>
        <w:t xml:space="preserve"> </w:t>
      </w:r>
    </w:p>
    <w:p w:rsidR="001A74BD" w:rsidRPr="00592AB7" w:rsidRDefault="00722657" w:rsidP="00B75DC7">
      <w:pPr>
        <w:spacing w:line="240" w:lineRule="auto"/>
        <w:ind w:left="0" w:hanging="2"/>
        <w:jc w:val="both"/>
        <w:rPr>
          <w:rFonts w:ascii="Constantia" w:eastAsia="Constantia" w:hAnsi="Constantia" w:cs="Constantia"/>
          <w:sz w:val="24"/>
          <w:szCs w:val="24"/>
          <w:lang w:val="id-ID"/>
        </w:rPr>
      </w:pPr>
      <w:r w:rsidRPr="00592AB7">
        <w:rPr>
          <w:rFonts w:ascii="Constantia" w:eastAsia="Constantia" w:hAnsi="Constantia" w:cs="Constantia"/>
          <w:b/>
          <w:sz w:val="24"/>
          <w:szCs w:val="24"/>
          <w:lang w:val="id-ID"/>
        </w:rPr>
        <w:t>Daftar Pustaka</w:t>
      </w:r>
    </w:p>
    <w:p w:rsidR="00B75DC7" w:rsidRPr="00592AB7" w:rsidRDefault="00B75DC7" w:rsidP="00B75DC7">
      <w:pPr>
        <w:spacing w:line="240" w:lineRule="auto"/>
        <w:ind w:left="0" w:hanging="2"/>
        <w:jc w:val="both"/>
        <w:rPr>
          <w:rFonts w:ascii="Constantia" w:hAnsi="Constantia"/>
          <w:sz w:val="24"/>
          <w:szCs w:val="24"/>
          <w:lang w:val="id-ID"/>
        </w:rPr>
      </w:pPr>
      <w:r w:rsidRPr="00592AB7">
        <w:rPr>
          <w:rFonts w:ascii="Constantia" w:hAnsi="Constantia"/>
          <w:sz w:val="24"/>
          <w:szCs w:val="24"/>
        </w:rPr>
        <w:t xml:space="preserve">Firdaus, Syarif. </w:t>
      </w:r>
      <w:r w:rsidRPr="00592AB7">
        <w:rPr>
          <w:rStyle w:val="Emphasis"/>
          <w:rFonts w:ascii="Constantia" w:hAnsi="Constantia"/>
          <w:sz w:val="24"/>
          <w:szCs w:val="24"/>
        </w:rPr>
        <w:t>Studi Epistemologi Hukum Islam dalam Konteks Fatwa Majelis Ulama Indonesia</w:t>
      </w:r>
      <w:r w:rsidRPr="00592AB7">
        <w:rPr>
          <w:rFonts w:ascii="Constantia" w:hAnsi="Constantia"/>
          <w:sz w:val="24"/>
          <w:szCs w:val="24"/>
        </w:rPr>
        <w:t>. Pengadilan Agama Bengkayang, 2021. Diakses dari pa-bengkayang.go.id</w:t>
      </w:r>
    </w:p>
    <w:p w:rsidR="00B75DC7" w:rsidRPr="00592AB7" w:rsidRDefault="00B75DC7" w:rsidP="00B75DC7">
      <w:pPr>
        <w:spacing w:line="240" w:lineRule="auto"/>
        <w:ind w:left="0" w:hanging="2"/>
        <w:jc w:val="both"/>
        <w:rPr>
          <w:rFonts w:ascii="Constantia" w:hAnsi="Constantia"/>
          <w:sz w:val="24"/>
          <w:szCs w:val="24"/>
          <w:lang w:val="id-ID"/>
        </w:rPr>
      </w:pPr>
      <w:r w:rsidRPr="00592AB7">
        <w:rPr>
          <w:rFonts w:ascii="Constantia" w:hAnsi="Constantia"/>
          <w:sz w:val="24"/>
          <w:szCs w:val="24"/>
        </w:rPr>
        <w:t xml:space="preserve">Wijaya, Abdi. “Respon Lembaga Fatwa terhadap Isu Fikih Kontemporer: Studi Komparatif MUI, Tarjih Muhammadiyah, dan Bahtsul Masail NU.” </w:t>
      </w:r>
      <w:r w:rsidRPr="00592AB7">
        <w:rPr>
          <w:rStyle w:val="Emphasis"/>
          <w:rFonts w:ascii="Constantia" w:hAnsi="Constantia"/>
          <w:sz w:val="24"/>
          <w:szCs w:val="24"/>
        </w:rPr>
        <w:t>Majelis Journal of Public Management</w:t>
      </w:r>
      <w:r w:rsidRPr="00592AB7">
        <w:rPr>
          <w:rFonts w:ascii="Constantia" w:hAnsi="Constantia"/>
          <w:sz w:val="24"/>
          <w:szCs w:val="24"/>
        </w:rPr>
        <w:t>, Vol. 1 No. 2, 2019. Diakses dari journal3.uin-alauddin.ac.id</w:t>
      </w:r>
    </w:p>
    <w:p w:rsidR="00B75DC7" w:rsidRPr="00592AB7" w:rsidRDefault="00B75DC7" w:rsidP="00B75DC7">
      <w:pPr>
        <w:spacing w:line="240" w:lineRule="auto"/>
        <w:ind w:left="0" w:hanging="2"/>
        <w:jc w:val="both"/>
        <w:rPr>
          <w:rFonts w:ascii="Constantia" w:hAnsi="Constantia"/>
          <w:sz w:val="24"/>
          <w:szCs w:val="24"/>
          <w:lang w:val="id-ID"/>
        </w:rPr>
      </w:pPr>
      <w:r w:rsidRPr="00592AB7">
        <w:rPr>
          <w:rFonts w:ascii="Constantia" w:hAnsi="Constantia"/>
          <w:sz w:val="24"/>
          <w:szCs w:val="24"/>
        </w:rPr>
        <w:t xml:space="preserve">Andini, Anis Wahyu. </w:t>
      </w:r>
      <w:r w:rsidRPr="00592AB7">
        <w:rPr>
          <w:rStyle w:val="Emphasis"/>
          <w:rFonts w:ascii="Constantia" w:hAnsi="Constantia"/>
          <w:sz w:val="24"/>
          <w:szCs w:val="24"/>
        </w:rPr>
        <w:t>Kaidah-Kaidah Fikih dalam Fatwa Dewan Syariah Nasional MUI (2000–2021)</w:t>
      </w:r>
      <w:r w:rsidRPr="00592AB7">
        <w:rPr>
          <w:rFonts w:ascii="Constantia" w:hAnsi="Constantia"/>
          <w:sz w:val="24"/>
          <w:szCs w:val="24"/>
        </w:rPr>
        <w:t>. Skripsi, Universitas Muhammadiyah Surakarta, 2022. Diakses dari eprints.ums.ac.id</w:t>
      </w:r>
    </w:p>
    <w:p w:rsidR="00B75DC7" w:rsidRPr="00592AB7" w:rsidRDefault="00B75DC7" w:rsidP="00B75DC7">
      <w:pPr>
        <w:spacing w:line="240" w:lineRule="auto"/>
        <w:ind w:left="0" w:hanging="2"/>
        <w:jc w:val="both"/>
        <w:rPr>
          <w:rFonts w:ascii="Constantia" w:hAnsi="Constantia"/>
          <w:sz w:val="24"/>
          <w:szCs w:val="24"/>
          <w:lang w:val="id-ID"/>
        </w:rPr>
      </w:pPr>
      <w:r w:rsidRPr="00592AB7">
        <w:rPr>
          <w:rFonts w:ascii="Constantia" w:hAnsi="Constantia"/>
          <w:sz w:val="24"/>
          <w:szCs w:val="24"/>
        </w:rPr>
        <w:t xml:space="preserve">Syarifuddin, Amir. </w:t>
      </w:r>
      <w:r w:rsidRPr="00592AB7">
        <w:rPr>
          <w:rStyle w:val="Emphasis"/>
          <w:rFonts w:ascii="Constantia" w:hAnsi="Constantia"/>
          <w:sz w:val="24"/>
          <w:szCs w:val="24"/>
        </w:rPr>
        <w:t>Meretas Ijtihad: Isu-Isu Penting Hukum Islam Kontemporer di Indonesia</w:t>
      </w:r>
      <w:r w:rsidRPr="00592AB7">
        <w:rPr>
          <w:rFonts w:ascii="Constantia" w:hAnsi="Constantia"/>
          <w:sz w:val="24"/>
          <w:szCs w:val="24"/>
        </w:rPr>
        <w:t>. Jakarta: Ciputat Press, 2002.</w:t>
      </w:r>
    </w:p>
    <w:p w:rsidR="00B75DC7" w:rsidRPr="00592AB7" w:rsidRDefault="00B75DC7" w:rsidP="00B75DC7">
      <w:pPr>
        <w:spacing w:line="240" w:lineRule="auto"/>
        <w:ind w:left="0" w:hanging="2"/>
        <w:jc w:val="both"/>
        <w:rPr>
          <w:rFonts w:ascii="Constantia" w:hAnsi="Constantia"/>
          <w:sz w:val="24"/>
          <w:szCs w:val="24"/>
          <w:lang w:val="id-ID"/>
        </w:rPr>
      </w:pPr>
      <w:r w:rsidRPr="00592AB7">
        <w:rPr>
          <w:rFonts w:ascii="Constantia" w:hAnsi="Constantia"/>
          <w:sz w:val="24"/>
          <w:szCs w:val="24"/>
        </w:rPr>
        <w:t xml:space="preserve">Nasution, Harun. </w:t>
      </w:r>
      <w:r w:rsidRPr="00592AB7">
        <w:rPr>
          <w:rStyle w:val="Emphasis"/>
          <w:rFonts w:ascii="Constantia" w:hAnsi="Constantia"/>
          <w:sz w:val="24"/>
          <w:szCs w:val="24"/>
        </w:rPr>
        <w:t>Islam Ditinjau dari Berbagai Aspeknya</w:t>
      </w:r>
      <w:r w:rsidRPr="00592AB7">
        <w:rPr>
          <w:rFonts w:ascii="Constantia" w:hAnsi="Constantia"/>
          <w:sz w:val="24"/>
          <w:szCs w:val="24"/>
        </w:rPr>
        <w:t>, Jilid I. Jakarta: UI Press, 1985.</w:t>
      </w:r>
    </w:p>
    <w:p w:rsidR="00B75DC7" w:rsidRPr="00592AB7" w:rsidRDefault="00B75DC7" w:rsidP="00B75DC7">
      <w:pPr>
        <w:spacing w:line="240" w:lineRule="auto"/>
        <w:ind w:left="0" w:hanging="2"/>
        <w:jc w:val="both"/>
        <w:rPr>
          <w:rFonts w:ascii="Constantia" w:hAnsi="Constantia"/>
          <w:sz w:val="24"/>
          <w:szCs w:val="24"/>
          <w:lang w:val="id-ID"/>
        </w:rPr>
      </w:pPr>
      <w:r w:rsidRPr="00592AB7">
        <w:rPr>
          <w:rFonts w:ascii="Constantia" w:hAnsi="Constantia"/>
          <w:sz w:val="24"/>
          <w:szCs w:val="24"/>
        </w:rPr>
        <w:t xml:space="preserve">Al-Qaradawi, Yusuf. </w:t>
      </w:r>
      <w:r w:rsidRPr="00592AB7">
        <w:rPr>
          <w:rStyle w:val="Emphasis"/>
          <w:rFonts w:ascii="Constantia" w:hAnsi="Constantia"/>
          <w:sz w:val="24"/>
          <w:szCs w:val="24"/>
        </w:rPr>
        <w:t>Fatwa Antara Tradisi dan Pembaruan</w:t>
      </w:r>
      <w:r w:rsidRPr="00592AB7">
        <w:rPr>
          <w:rFonts w:ascii="Constantia" w:hAnsi="Constantia"/>
          <w:sz w:val="24"/>
          <w:szCs w:val="24"/>
        </w:rPr>
        <w:t>. Kairo: Dar al-Shuruq</w:t>
      </w:r>
      <w:r w:rsidRPr="00592AB7">
        <w:rPr>
          <w:rFonts w:ascii="Constantia" w:hAnsi="Constantia"/>
          <w:sz w:val="24"/>
          <w:szCs w:val="24"/>
          <w:lang w:val="id-ID"/>
        </w:rPr>
        <w:t>.</w:t>
      </w:r>
    </w:p>
    <w:p w:rsidR="00B75DC7" w:rsidRPr="00592AB7" w:rsidRDefault="00B75DC7" w:rsidP="00B75DC7">
      <w:pPr>
        <w:pStyle w:val="NormalWeb"/>
        <w:spacing w:before="0" w:beforeAutospacing="0" w:after="0" w:afterAutospacing="0" w:line="240" w:lineRule="auto"/>
        <w:ind w:left="0" w:hanging="2"/>
        <w:jc w:val="both"/>
        <w:rPr>
          <w:rFonts w:ascii="Constantia" w:hAnsi="Constantia"/>
          <w:lang w:val="id-ID"/>
        </w:rPr>
      </w:pPr>
    </w:p>
    <w:sectPr w:rsidR="00B75DC7" w:rsidRPr="00592AB7">
      <w:headerReference w:type="even" r:id="rId9"/>
      <w:headerReference w:type="default" r:id="rId10"/>
      <w:footerReference w:type="even" r:id="rId11"/>
      <w:footerReference w:type="default" r:id="rId12"/>
      <w:headerReference w:type="first" r:id="rId13"/>
      <w:footerReference w:type="first" r:id="rId14"/>
      <w:pgSz w:w="11909" w:h="16834"/>
      <w:pgMar w:top="1350" w:right="1411" w:bottom="1886" w:left="1699" w:header="720" w:footer="141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77C" w:rsidRDefault="00BE477C" w:rsidP="00CC2B06">
      <w:pPr>
        <w:spacing w:line="240" w:lineRule="auto"/>
        <w:ind w:left="0" w:hanging="2"/>
      </w:pPr>
      <w:r>
        <w:separator/>
      </w:r>
    </w:p>
  </w:endnote>
  <w:endnote w:type="continuationSeparator" w:id="0">
    <w:p w:rsidR="00BE477C" w:rsidRDefault="00BE477C" w:rsidP="00CC2B0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itka Heading">
    <w:panose1 w:val="02000505000000020004"/>
    <w:charset w:val="00"/>
    <w:family w:val="auto"/>
    <w:pitch w:val="variable"/>
    <w:sig w:usb0="A00002EF" w:usb1="4000204B"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4BD" w:rsidRPr="00EC6B44" w:rsidRDefault="001A74BD" w:rsidP="00EC6B44">
    <w:pPr>
      <w:pStyle w:val="Footer"/>
      <w:ind w:left="0" w:hanging="2"/>
      <w:rPr>
        <w:rFonts w:eastAsia="Constant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4BD" w:rsidRPr="00E432A1" w:rsidRDefault="001A74BD" w:rsidP="00E432A1">
    <w:pPr>
      <w:pStyle w:val="Foote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4BD" w:rsidRDefault="000F0CFD" w:rsidP="00CC2B06">
    <w:pPr>
      <w:pBdr>
        <w:top w:val="nil"/>
        <w:left w:val="nil"/>
        <w:bottom w:val="nil"/>
        <w:right w:val="nil"/>
        <w:between w:val="nil"/>
      </w:pBdr>
      <w:spacing w:line="240" w:lineRule="auto"/>
      <w:ind w:left="0" w:hanging="2"/>
      <w:jc w:val="center"/>
      <w:rPr>
        <w:rFonts w:ascii="Book Antiqua" w:eastAsia="Book Antiqua" w:hAnsi="Book Antiqua" w:cs="Book Antiqua"/>
        <w:color w:val="000000"/>
        <w:sz w:val="22"/>
        <w:szCs w:val="22"/>
      </w:rPr>
    </w:pPr>
    <w:r>
      <mc:AlternateContent>
        <mc:Choice Requires="wps">
          <w:drawing>
            <wp:anchor distT="0" distB="0" distL="114300" distR="114300" simplePos="0" relativeHeight="251661312" behindDoc="0" locked="0" layoutInCell="1" hidden="0" allowOverlap="1">
              <wp:simplePos x="0" y="0"/>
              <wp:positionH relativeFrom="column">
                <wp:posOffset>1130300</wp:posOffset>
              </wp:positionH>
              <wp:positionV relativeFrom="paragraph">
                <wp:posOffset>-101599</wp:posOffset>
              </wp:positionV>
              <wp:extent cx="3533775" cy="1059815"/>
              <wp:effectExtent l="0" t="0" r="0" b="0"/>
              <wp:wrapNone/>
              <wp:docPr id="5" name="Rectangle 5"/>
              <wp:cNvGraphicFramePr/>
              <a:graphic xmlns:a="http://schemas.openxmlformats.org/drawingml/2006/main">
                <a:graphicData uri="http://schemas.microsoft.com/office/word/2010/wordprocessingShape">
                  <wps:wsp>
                    <wps:cNvSpPr/>
                    <wps:spPr>
                      <a:xfrm>
                        <a:off x="3583875" y="3254855"/>
                        <a:ext cx="3524250" cy="1050290"/>
                      </a:xfrm>
                      <a:prstGeom prst="rect">
                        <a:avLst/>
                      </a:prstGeom>
                      <a:solidFill>
                        <a:srgbClr val="FFFFFF"/>
                      </a:solidFill>
                      <a:ln>
                        <a:noFill/>
                      </a:ln>
                    </wps:spPr>
                    <wps:txbx>
                      <w:txbxContent>
                        <w:p w:rsidR="001A74BD" w:rsidRDefault="001A74BD" w:rsidP="00CC2B06">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Rectangle 5" o:spid="_x0000_s1026" style="position:absolute;left:0;text-align:left;margin-left:89pt;margin-top:-8pt;width:278.25pt;height:83.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" stroked="f">
              <v:textbox inset="2.53958mm,1.2694mm,2.53958mm,1.2694mm">
                <w:txbxContent>
                  <w:p w:rsidR="001A74BD" w:rsidRDefault="001A74BD" w:rsidP="00CC2B06">
                    <w:pPr>
                      <w:spacing w:line="240" w:lineRule="auto"/>
                      <w:ind w:left="0" w:hanging="2"/>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77C" w:rsidRDefault="00BE477C" w:rsidP="00CC2B06">
      <w:pPr>
        <w:spacing w:line="240" w:lineRule="auto"/>
        <w:ind w:left="0" w:hanging="2"/>
      </w:pPr>
      <w:r>
        <w:separator/>
      </w:r>
    </w:p>
  </w:footnote>
  <w:footnote w:type="continuationSeparator" w:id="0">
    <w:p w:rsidR="00BE477C" w:rsidRDefault="00BE477C" w:rsidP="00CC2B06">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4BD" w:rsidRDefault="001A74BD" w:rsidP="00CC2B06">
    <w:pPr>
      <w:pBdr>
        <w:top w:val="nil"/>
        <w:left w:val="nil"/>
        <w:bottom w:val="nil"/>
        <w:right w:val="nil"/>
        <w:between w:val="nil"/>
      </w:pBdr>
      <w:spacing w:line="240" w:lineRule="auto"/>
      <w:ind w:left="0" w:hanging="2"/>
      <w:rPr>
        <w:rFonts w:ascii="Constantia" w:eastAsia="Constantia" w:hAnsi="Constantia" w:cs="Constantia"/>
        <w:color w:val="00000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4BD" w:rsidRPr="00E432A1" w:rsidRDefault="001A74BD" w:rsidP="00E432A1">
    <w:pPr>
      <w:pStyle w:val="Header"/>
      <w:ind w:left="0" w:hanging="2"/>
      <w:rPr>
        <w:rFonts w:eastAsia="Sitka Heading"/>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4BD" w:rsidRDefault="001A74BD" w:rsidP="00CC2B06">
    <w:pPr>
      <w:pBdr>
        <w:top w:val="nil"/>
        <w:left w:val="nil"/>
        <w:bottom w:val="nil"/>
        <w:right w:val="nil"/>
        <w:between w:val="nil"/>
      </w:pBdr>
      <w:spacing w:line="240" w:lineRule="auto"/>
      <w:ind w:left="0" w:right="-707" w:hanging="2"/>
      <w:rPr>
        <w:color w:val="000000"/>
      </w:rPr>
    </w:pPr>
  </w:p>
  <w:p w:rsidR="001A74BD" w:rsidRDefault="001A74BD" w:rsidP="00CC2B06">
    <w:pPr>
      <w:pBdr>
        <w:top w:val="nil"/>
        <w:left w:val="nil"/>
        <w:bottom w:val="nil"/>
        <w:right w:val="nil"/>
        <w:between w:val="nil"/>
      </w:pBdr>
      <w:spacing w:line="240" w:lineRule="auto"/>
      <w:ind w:left="0" w:hanging="2"/>
      <w:rPr>
        <w:color w:val="000000"/>
      </w:rPr>
    </w:pPr>
  </w:p>
  <w:p w:rsidR="001A74BD" w:rsidRDefault="001A74BD" w:rsidP="00CC2B06">
    <w:pPr>
      <w:pBdr>
        <w:top w:val="nil"/>
        <w:left w:val="nil"/>
        <w:bottom w:val="nil"/>
        <w:right w:val="nil"/>
        <w:between w:val="nil"/>
      </w:pBdr>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1A74BD"/>
    <w:rsid w:val="000F0CFD"/>
    <w:rsid w:val="001A74BD"/>
    <w:rsid w:val="00267C70"/>
    <w:rsid w:val="002F2C1A"/>
    <w:rsid w:val="00336374"/>
    <w:rsid w:val="003642B6"/>
    <w:rsid w:val="004032E3"/>
    <w:rsid w:val="00487EF5"/>
    <w:rsid w:val="004F2767"/>
    <w:rsid w:val="00592AB7"/>
    <w:rsid w:val="005939A4"/>
    <w:rsid w:val="00722657"/>
    <w:rsid w:val="00751A88"/>
    <w:rsid w:val="00765B4C"/>
    <w:rsid w:val="00780237"/>
    <w:rsid w:val="007D6E93"/>
    <w:rsid w:val="00832F59"/>
    <w:rsid w:val="008B2583"/>
    <w:rsid w:val="008F5B81"/>
    <w:rsid w:val="008F6707"/>
    <w:rsid w:val="009B5A0F"/>
    <w:rsid w:val="00A36FC2"/>
    <w:rsid w:val="00A91E12"/>
    <w:rsid w:val="00AE1D03"/>
    <w:rsid w:val="00B75DC7"/>
    <w:rsid w:val="00BC05CC"/>
    <w:rsid w:val="00BE477C"/>
    <w:rsid w:val="00CC2B06"/>
    <w:rsid w:val="00D00A27"/>
    <w:rsid w:val="00D21930"/>
    <w:rsid w:val="00DA773B"/>
    <w:rsid w:val="00E432A1"/>
    <w:rsid w:val="00EC6B44"/>
    <w:rsid w:val="00FB20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noProof/>
      <w:position w:val="-1"/>
    </w:rPr>
  </w:style>
  <w:style w:type="paragraph" w:styleId="Heading1">
    <w:name w:val="heading 1"/>
    <w:basedOn w:val="Normal"/>
    <w:pPr>
      <w:spacing w:before="100" w:beforeAutospacing="1" w:after="100" w:afterAutospacing="1"/>
      <w:jc w:val="left"/>
    </w:pPr>
    <w:rPr>
      <w:rFonts w:ascii="Tahoma" w:hAnsi="Tahoma" w:cs="Tahoma"/>
      <w:b/>
      <w:bCs/>
      <w:noProof w:val="0"/>
      <w:kern w:val="36"/>
      <w:sz w:val="48"/>
      <w:szCs w:val="48"/>
      <w:lang w:bidi="th-TH"/>
    </w:rPr>
  </w:style>
  <w:style w:type="paragraph" w:styleId="Heading2">
    <w:name w:val="heading 2"/>
    <w:basedOn w:val="Normal"/>
    <w:next w:val="Normal"/>
    <w:qFormat/>
    <w:pPr>
      <w:keepNext/>
      <w:keepLines/>
      <w:spacing w:before="40"/>
      <w:jc w:val="left"/>
      <w:outlineLvl w:val="1"/>
    </w:pPr>
    <w:rPr>
      <w:rFonts w:ascii="Cambria" w:hAnsi="Cambria" w:cs="Angsana New"/>
      <w:noProof w:val="0"/>
      <w:color w:val="365F91"/>
      <w:sz w:val="26"/>
      <w:szCs w:val="33"/>
      <w:lang w:bidi="th-TH"/>
    </w:rPr>
  </w:style>
  <w:style w:type="paragraph" w:styleId="Heading3">
    <w:name w:val="heading 3"/>
    <w:basedOn w:val="Normal"/>
    <w:next w:val="Normal"/>
    <w:qFormat/>
    <w:pPr>
      <w:keepNext/>
      <w:keepLines/>
      <w:spacing w:before="40"/>
      <w:jc w:val="left"/>
      <w:outlineLvl w:val="2"/>
    </w:pPr>
    <w:rPr>
      <w:rFonts w:ascii="Cambria" w:hAnsi="Cambria" w:cs="Angsana New"/>
      <w:noProof w:val="0"/>
      <w:color w:val="243F60"/>
      <w:sz w:val="24"/>
      <w:szCs w:val="30"/>
      <w:lang w:bidi="th-TH"/>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spacing w:before="240" w:after="60"/>
      <w:jc w:val="left"/>
      <w:outlineLvl w:val="5"/>
    </w:pPr>
    <w:rPr>
      <w:rFonts w:cs="Angsana New"/>
      <w:b/>
      <w:bCs/>
      <w:noProof w:val="0"/>
      <w:sz w:val="22"/>
      <w:szCs w:val="25"/>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pPr>
      <w:jc w:val="center"/>
    </w:pPr>
    <w:rPr>
      <w:rFonts w:eastAsia="SimSun"/>
      <w:b/>
      <w:bCs/>
      <w:noProof w:val="0"/>
      <w:sz w:val="32"/>
      <w:szCs w:val="32"/>
      <w:lang w:eastAsia="zh-CN"/>
    </w:rPr>
  </w:style>
  <w:style w:type="character" w:customStyle="1" w:styleId="Heading1Char">
    <w:name w:val="Heading 1 Char"/>
    <w:rPr>
      <w:rFonts w:ascii="Tahoma" w:hAnsi="Tahoma" w:cs="Times New Roman"/>
      <w:b/>
      <w:w w:val="100"/>
      <w:kern w:val="36"/>
      <w:position w:val="-1"/>
      <w:sz w:val="48"/>
      <w:effect w:val="none"/>
      <w:vertAlign w:val="baseline"/>
      <w:cs w:val="0"/>
      <w:em w:val="none"/>
    </w:rPr>
  </w:style>
  <w:style w:type="character" w:customStyle="1" w:styleId="Heading2Char">
    <w:name w:val="Heading 2 Char"/>
    <w:rPr>
      <w:rFonts w:ascii="Cambria" w:hAnsi="Cambria" w:cs="Times New Roman"/>
      <w:color w:val="365F91"/>
      <w:w w:val="100"/>
      <w:position w:val="-1"/>
      <w:sz w:val="33"/>
      <w:effect w:val="none"/>
      <w:vertAlign w:val="baseline"/>
      <w:cs w:val="0"/>
      <w:em w:val="none"/>
    </w:rPr>
  </w:style>
  <w:style w:type="character" w:customStyle="1" w:styleId="Heading3Char">
    <w:name w:val="Heading 3 Char"/>
    <w:rPr>
      <w:rFonts w:ascii="Cambria" w:hAnsi="Cambria" w:cs="Times New Roman"/>
      <w:color w:val="243F60"/>
      <w:w w:val="100"/>
      <w:position w:val="-1"/>
      <w:sz w:val="30"/>
      <w:effect w:val="none"/>
      <w:vertAlign w:val="baseline"/>
      <w:cs w:val="0"/>
      <w:em w:val="none"/>
    </w:rPr>
  </w:style>
  <w:style w:type="character" w:customStyle="1" w:styleId="Heading6Char">
    <w:name w:val="Heading 6 Char"/>
    <w:rPr>
      <w:rFonts w:ascii="Times New Roman" w:hAnsi="Times New Roman" w:cs="Times New Roman"/>
      <w:b/>
      <w:w w:val="100"/>
      <w:position w:val="-1"/>
      <w:sz w:val="25"/>
      <w:effect w:val="none"/>
      <w:vertAlign w:val="baseline"/>
      <w:cs w:val="0"/>
      <w:em w:val="none"/>
    </w:rPr>
  </w:style>
  <w:style w:type="paragraph" w:customStyle="1" w:styleId="FootnoteTextFootnoteTextCharCharCharChar">
    <w:name w:val="Footnote Text;Footnote Text Char Char Char Char"/>
    <w:basedOn w:val="Normal"/>
  </w:style>
  <w:style w:type="character" w:customStyle="1" w:styleId="FootnoteTextCharFootnoteTextCharCharCharCharChar">
    <w:name w:val="Footnote Text Char;Footnote Text Char Char Char Char Char"/>
    <w:rPr>
      <w:rFonts w:ascii="Times New Roman" w:hAnsi="Times New Roman" w:cs="Times New Roman"/>
      <w:noProof/>
      <w:w w:val="100"/>
      <w:position w:val="-1"/>
      <w:sz w:val="20"/>
      <w:effect w:val="none"/>
      <w:vertAlign w:val="baseline"/>
      <w:cs w:val="0"/>
      <w:em w:val="none"/>
    </w:rPr>
  </w:style>
  <w:style w:type="character" w:styleId="FootnoteReference">
    <w:name w:val="footnote reference"/>
    <w:rPr>
      <w:w w:val="100"/>
      <w:position w:val="-1"/>
      <w:effect w:val="none"/>
      <w:vertAlign w:val="superscript"/>
      <w:cs w:val="0"/>
      <w:em w:val="none"/>
    </w:rPr>
  </w:style>
  <w:style w:type="paragraph" w:styleId="BodyText">
    <w:name w:val="Body Text"/>
    <w:basedOn w:val="Normal"/>
    <w:pPr>
      <w:spacing w:line="360" w:lineRule="auto"/>
      <w:jc w:val="left"/>
    </w:pPr>
    <w:rPr>
      <w:sz w:val="24"/>
      <w:szCs w:val="24"/>
    </w:rPr>
  </w:style>
  <w:style w:type="character" w:customStyle="1" w:styleId="BodyTextChar">
    <w:name w:val="Body Text Char"/>
    <w:rPr>
      <w:rFonts w:ascii="Times New Roman" w:hAnsi="Times New Roman" w:cs="Times New Roman"/>
      <w:noProof/>
      <w:w w:val="100"/>
      <w:position w:val="-1"/>
      <w:sz w:val="24"/>
      <w:effect w:val="none"/>
      <w:vertAlign w:val="baseline"/>
      <w:cs w:val="0"/>
      <w:em w:val="none"/>
    </w:rPr>
  </w:style>
  <w:style w:type="paragraph" w:styleId="Footer">
    <w:name w:val="footer"/>
    <w:basedOn w:val="Normal"/>
  </w:style>
  <w:style w:type="character" w:customStyle="1" w:styleId="FooterChar">
    <w:name w:val="Footer Char"/>
    <w:rPr>
      <w:rFonts w:ascii="Times New Roman" w:hAnsi="Times New Roman" w:cs="Times New Roman"/>
      <w:noProof/>
      <w:w w:val="100"/>
      <w:position w:val="-1"/>
      <w:sz w:val="20"/>
      <w:effect w:val="none"/>
      <w:vertAlign w:val="baseline"/>
      <w:cs w:val="0"/>
      <w:em w:val="none"/>
    </w:rPr>
  </w:style>
  <w:style w:type="paragraph" w:styleId="Header">
    <w:name w:val="header"/>
    <w:basedOn w:val="Normal"/>
  </w:style>
  <w:style w:type="character" w:customStyle="1" w:styleId="HeaderChar">
    <w:name w:val="Header Char"/>
    <w:rPr>
      <w:rFonts w:ascii="Times New Roman" w:hAnsi="Times New Roman" w:cs="Times New Roman"/>
      <w:noProof/>
      <w:w w:val="100"/>
      <w:position w:val="-1"/>
      <w:sz w:val="20"/>
      <w:effect w:val="none"/>
      <w:vertAlign w:val="baseline"/>
      <w:cs w:val="0"/>
      <w:em w:val="none"/>
    </w:rPr>
  </w:style>
  <w:style w:type="paragraph" w:styleId="ListParagraph">
    <w:name w:val="List Paragraph"/>
    <w:basedOn w:val="Normal"/>
    <w:pPr>
      <w:spacing w:after="200" w:line="276" w:lineRule="auto"/>
      <w:ind w:left="720"/>
      <w:contextualSpacing/>
      <w:jc w:val="left"/>
    </w:pPr>
    <w:rPr>
      <w:rFonts w:ascii="Calibri" w:hAnsi="Calibri" w:cs="Arial"/>
      <w:noProof w:val="0"/>
      <w:sz w:val="22"/>
      <w:szCs w:val="22"/>
    </w:rPr>
  </w:style>
  <w:style w:type="character" w:customStyle="1" w:styleId="FootnoteCharacters">
    <w:name w:val="Footnote Characters"/>
    <w:rPr>
      <w:w w:val="100"/>
      <w:position w:val="-1"/>
      <w:effect w:val="none"/>
      <w:vertAlign w:val="superscript"/>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character" w:customStyle="1" w:styleId="go">
    <w:name w:val="go"/>
    <w:rPr>
      <w:w w:val="100"/>
      <w:position w:val="-1"/>
      <w:effect w:val="none"/>
      <w:vertAlign w:val="baseline"/>
      <w:cs w:val="0"/>
      <w:em w:val="none"/>
    </w:rPr>
  </w:style>
  <w:style w:type="paragraph" w:customStyle="1" w:styleId="nn">
    <w:name w:val="nn"/>
    <w:basedOn w:val="Normal"/>
    <w:pPr>
      <w:spacing w:line="480" w:lineRule="auto"/>
      <w:ind w:left="567" w:firstLine="709"/>
      <w:jc w:val="both"/>
    </w:pPr>
    <w:rPr>
      <w:noProof w:val="0"/>
      <w:w w:val="120"/>
      <w:sz w:val="24"/>
    </w:rPr>
  </w:style>
  <w:style w:type="character" w:customStyle="1" w:styleId="TitleChar">
    <w:name w:val="Title Char"/>
    <w:rPr>
      <w:rFonts w:ascii="Times New Roman" w:eastAsia="SimSun" w:hAnsi="Times New Roman" w:cs="Times New Roman"/>
      <w:b/>
      <w:w w:val="100"/>
      <w:position w:val="-1"/>
      <w:sz w:val="32"/>
      <w:effect w:val="none"/>
      <w:vertAlign w:val="baseline"/>
      <w:cs w:val="0"/>
      <w:em w:val="none"/>
      <w:lang w:eastAsia="zh-CN"/>
    </w:rPr>
  </w:style>
  <w:style w:type="paragraph" w:customStyle="1" w:styleId="abstrak">
    <w:name w:val="abstrak"/>
    <w:basedOn w:val="BodyText"/>
    <w:pPr>
      <w:spacing w:line="240" w:lineRule="auto"/>
      <w:ind w:left="567" w:right="567"/>
      <w:jc w:val="both"/>
    </w:pPr>
    <w:rPr>
      <w:rFonts w:eastAsia="SimSun"/>
      <w:noProof w:val="0"/>
      <w:sz w:val="20"/>
    </w:rPr>
  </w:style>
  <w:style w:type="character" w:styleId="Hyperlink">
    <w:name w:val="Hyperlink"/>
    <w:qFormat/>
    <w:rPr>
      <w:color w:val="0000FF"/>
      <w:w w:val="100"/>
      <w:position w:val="-1"/>
      <w:u w:val="single"/>
      <w:effect w:val="none"/>
      <w:vertAlign w:val="baseline"/>
      <w:cs w:val="0"/>
      <w:em w:val="none"/>
    </w:rPr>
  </w:style>
  <w:style w:type="character" w:customStyle="1" w:styleId="hps">
    <w:name w:val="hps"/>
    <w:rPr>
      <w:w w:val="100"/>
      <w:position w:val="-1"/>
      <w:effect w:val="none"/>
      <w:vertAlign w:val="baseline"/>
      <w:cs w:val="0"/>
      <w:em w:val="none"/>
    </w:rPr>
  </w:style>
  <w:style w:type="paragraph" w:styleId="NormalWeb">
    <w:name w:val="Normal (Web)"/>
    <w:basedOn w:val="Normal"/>
    <w:uiPriority w:val="99"/>
    <w:pPr>
      <w:spacing w:before="100" w:beforeAutospacing="1" w:after="100" w:afterAutospacing="1"/>
      <w:jc w:val="left"/>
    </w:pPr>
    <w:rPr>
      <w:rFonts w:ascii="Tahoma" w:hAnsi="Tahoma" w:cs="Tahoma"/>
      <w:noProof w:val="0"/>
      <w:sz w:val="24"/>
      <w:szCs w:val="24"/>
      <w:lang w:bidi="th-TH"/>
    </w:rPr>
  </w:style>
  <w:style w:type="character" w:customStyle="1" w:styleId="messagebody">
    <w:name w:val="messagebody"/>
    <w:rPr>
      <w:w w:val="100"/>
      <w:position w:val="-1"/>
      <w:effect w:val="none"/>
      <w:vertAlign w:val="baseline"/>
      <w:cs w:val="0"/>
      <w:em w:val="none"/>
    </w:rPr>
  </w:style>
  <w:style w:type="character" w:customStyle="1" w:styleId="uistreamsource">
    <w:name w:val="uistreamsource"/>
    <w:rPr>
      <w:w w:val="100"/>
      <w:position w:val="-1"/>
      <w:effect w:val="none"/>
      <w:vertAlign w:val="baseline"/>
      <w:cs w:val="0"/>
      <w:em w:val="none"/>
    </w:rPr>
  </w:style>
  <w:style w:type="character" w:styleId="PageNumber">
    <w:name w:val="page number"/>
    <w:rPr>
      <w:w w:val="100"/>
      <w:position w:val="-1"/>
      <w:effect w:val="none"/>
      <w:vertAlign w:val="baseline"/>
      <w:cs w:val="0"/>
      <w:em w:val="none"/>
    </w:rPr>
  </w:style>
  <w:style w:type="character" w:styleId="Emphasis">
    <w:name w:val="Emphasis"/>
    <w:uiPriority w:val="20"/>
    <w:qFormat/>
    <w:rPr>
      <w:i/>
      <w:w w:val="100"/>
      <w:position w:val="-1"/>
      <w:effect w:val="none"/>
      <w:vertAlign w:val="baseline"/>
      <w:cs w:val="0"/>
      <w:em w:val="none"/>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rFonts w:cs="Angsana New"/>
      <w:position w:val="-1"/>
      <w:sz w:val="24"/>
      <w:szCs w:val="28"/>
      <w:lang w:bidi="th-TH"/>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imes New Roman"/>
      <w:noProof/>
      <w:w w:val="100"/>
      <w:position w:val="-1"/>
      <w:sz w:val="16"/>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customStyle="1" w:styleId="mx-05">
    <w:name w:val="mx-0.5"/>
    <w:basedOn w:val="DefaultParagraphFont"/>
    <w:rsid w:val="004F2767"/>
  </w:style>
  <w:style w:type="character" w:styleId="Strong">
    <w:name w:val="Strong"/>
    <w:basedOn w:val="DefaultParagraphFont"/>
    <w:uiPriority w:val="22"/>
    <w:qFormat/>
    <w:rsid w:val="004F276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noProof/>
      <w:position w:val="-1"/>
    </w:rPr>
  </w:style>
  <w:style w:type="paragraph" w:styleId="Heading1">
    <w:name w:val="heading 1"/>
    <w:basedOn w:val="Normal"/>
    <w:pPr>
      <w:spacing w:before="100" w:beforeAutospacing="1" w:after="100" w:afterAutospacing="1"/>
      <w:jc w:val="left"/>
    </w:pPr>
    <w:rPr>
      <w:rFonts w:ascii="Tahoma" w:hAnsi="Tahoma" w:cs="Tahoma"/>
      <w:b/>
      <w:bCs/>
      <w:noProof w:val="0"/>
      <w:kern w:val="36"/>
      <w:sz w:val="48"/>
      <w:szCs w:val="48"/>
      <w:lang w:bidi="th-TH"/>
    </w:rPr>
  </w:style>
  <w:style w:type="paragraph" w:styleId="Heading2">
    <w:name w:val="heading 2"/>
    <w:basedOn w:val="Normal"/>
    <w:next w:val="Normal"/>
    <w:qFormat/>
    <w:pPr>
      <w:keepNext/>
      <w:keepLines/>
      <w:spacing w:before="40"/>
      <w:jc w:val="left"/>
      <w:outlineLvl w:val="1"/>
    </w:pPr>
    <w:rPr>
      <w:rFonts w:ascii="Cambria" w:hAnsi="Cambria" w:cs="Angsana New"/>
      <w:noProof w:val="0"/>
      <w:color w:val="365F91"/>
      <w:sz w:val="26"/>
      <w:szCs w:val="33"/>
      <w:lang w:bidi="th-TH"/>
    </w:rPr>
  </w:style>
  <w:style w:type="paragraph" w:styleId="Heading3">
    <w:name w:val="heading 3"/>
    <w:basedOn w:val="Normal"/>
    <w:next w:val="Normal"/>
    <w:qFormat/>
    <w:pPr>
      <w:keepNext/>
      <w:keepLines/>
      <w:spacing w:before="40"/>
      <w:jc w:val="left"/>
      <w:outlineLvl w:val="2"/>
    </w:pPr>
    <w:rPr>
      <w:rFonts w:ascii="Cambria" w:hAnsi="Cambria" w:cs="Angsana New"/>
      <w:noProof w:val="0"/>
      <w:color w:val="243F60"/>
      <w:sz w:val="24"/>
      <w:szCs w:val="30"/>
      <w:lang w:bidi="th-TH"/>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spacing w:before="240" w:after="60"/>
      <w:jc w:val="left"/>
      <w:outlineLvl w:val="5"/>
    </w:pPr>
    <w:rPr>
      <w:rFonts w:cs="Angsana New"/>
      <w:b/>
      <w:bCs/>
      <w:noProof w:val="0"/>
      <w:sz w:val="22"/>
      <w:szCs w:val="25"/>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pPr>
      <w:jc w:val="center"/>
    </w:pPr>
    <w:rPr>
      <w:rFonts w:eastAsia="SimSun"/>
      <w:b/>
      <w:bCs/>
      <w:noProof w:val="0"/>
      <w:sz w:val="32"/>
      <w:szCs w:val="32"/>
      <w:lang w:eastAsia="zh-CN"/>
    </w:rPr>
  </w:style>
  <w:style w:type="character" w:customStyle="1" w:styleId="Heading1Char">
    <w:name w:val="Heading 1 Char"/>
    <w:rPr>
      <w:rFonts w:ascii="Tahoma" w:hAnsi="Tahoma" w:cs="Times New Roman"/>
      <w:b/>
      <w:w w:val="100"/>
      <w:kern w:val="36"/>
      <w:position w:val="-1"/>
      <w:sz w:val="48"/>
      <w:effect w:val="none"/>
      <w:vertAlign w:val="baseline"/>
      <w:cs w:val="0"/>
      <w:em w:val="none"/>
    </w:rPr>
  </w:style>
  <w:style w:type="character" w:customStyle="1" w:styleId="Heading2Char">
    <w:name w:val="Heading 2 Char"/>
    <w:rPr>
      <w:rFonts w:ascii="Cambria" w:hAnsi="Cambria" w:cs="Times New Roman"/>
      <w:color w:val="365F91"/>
      <w:w w:val="100"/>
      <w:position w:val="-1"/>
      <w:sz w:val="33"/>
      <w:effect w:val="none"/>
      <w:vertAlign w:val="baseline"/>
      <w:cs w:val="0"/>
      <w:em w:val="none"/>
    </w:rPr>
  </w:style>
  <w:style w:type="character" w:customStyle="1" w:styleId="Heading3Char">
    <w:name w:val="Heading 3 Char"/>
    <w:rPr>
      <w:rFonts w:ascii="Cambria" w:hAnsi="Cambria" w:cs="Times New Roman"/>
      <w:color w:val="243F60"/>
      <w:w w:val="100"/>
      <w:position w:val="-1"/>
      <w:sz w:val="30"/>
      <w:effect w:val="none"/>
      <w:vertAlign w:val="baseline"/>
      <w:cs w:val="0"/>
      <w:em w:val="none"/>
    </w:rPr>
  </w:style>
  <w:style w:type="character" w:customStyle="1" w:styleId="Heading6Char">
    <w:name w:val="Heading 6 Char"/>
    <w:rPr>
      <w:rFonts w:ascii="Times New Roman" w:hAnsi="Times New Roman" w:cs="Times New Roman"/>
      <w:b/>
      <w:w w:val="100"/>
      <w:position w:val="-1"/>
      <w:sz w:val="25"/>
      <w:effect w:val="none"/>
      <w:vertAlign w:val="baseline"/>
      <w:cs w:val="0"/>
      <w:em w:val="none"/>
    </w:rPr>
  </w:style>
  <w:style w:type="paragraph" w:customStyle="1" w:styleId="FootnoteTextFootnoteTextCharCharCharChar">
    <w:name w:val="Footnote Text;Footnote Text Char Char Char Char"/>
    <w:basedOn w:val="Normal"/>
  </w:style>
  <w:style w:type="character" w:customStyle="1" w:styleId="FootnoteTextCharFootnoteTextCharCharCharCharChar">
    <w:name w:val="Footnote Text Char;Footnote Text Char Char Char Char Char"/>
    <w:rPr>
      <w:rFonts w:ascii="Times New Roman" w:hAnsi="Times New Roman" w:cs="Times New Roman"/>
      <w:noProof/>
      <w:w w:val="100"/>
      <w:position w:val="-1"/>
      <w:sz w:val="20"/>
      <w:effect w:val="none"/>
      <w:vertAlign w:val="baseline"/>
      <w:cs w:val="0"/>
      <w:em w:val="none"/>
    </w:rPr>
  </w:style>
  <w:style w:type="character" w:styleId="FootnoteReference">
    <w:name w:val="footnote reference"/>
    <w:rPr>
      <w:w w:val="100"/>
      <w:position w:val="-1"/>
      <w:effect w:val="none"/>
      <w:vertAlign w:val="superscript"/>
      <w:cs w:val="0"/>
      <w:em w:val="none"/>
    </w:rPr>
  </w:style>
  <w:style w:type="paragraph" w:styleId="BodyText">
    <w:name w:val="Body Text"/>
    <w:basedOn w:val="Normal"/>
    <w:pPr>
      <w:spacing w:line="360" w:lineRule="auto"/>
      <w:jc w:val="left"/>
    </w:pPr>
    <w:rPr>
      <w:sz w:val="24"/>
      <w:szCs w:val="24"/>
    </w:rPr>
  </w:style>
  <w:style w:type="character" w:customStyle="1" w:styleId="BodyTextChar">
    <w:name w:val="Body Text Char"/>
    <w:rPr>
      <w:rFonts w:ascii="Times New Roman" w:hAnsi="Times New Roman" w:cs="Times New Roman"/>
      <w:noProof/>
      <w:w w:val="100"/>
      <w:position w:val="-1"/>
      <w:sz w:val="24"/>
      <w:effect w:val="none"/>
      <w:vertAlign w:val="baseline"/>
      <w:cs w:val="0"/>
      <w:em w:val="none"/>
    </w:rPr>
  </w:style>
  <w:style w:type="paragraph" w:styleId="Footer">
    <w:name w:val="footer"/>
    <w:basedOn w:val="Normal"/>
  </w:style>
  <w:style w:type="character" w:customStyle="1" w:styleId="FooterChar">
    <w:name w:val="Footer Char"/>
    <w:rPr>
      <w:rFonts w:ascii="Times New Roman" w:hAnsi="Times New Roman" w:cs="Times New Roman"/>
      <w:noProof/>
      <w:w w:val="100"/>
      <w:position w:val="-1"/>
      <w:sz w:val="20"/>
      <w:effect w:val="none"/>
      <w:vertAlign w:val="baseline"/>
      <w:cs w:val="0"/>
      <w:em w:val="none"/>
    </w:rPr>
  </w:style>
  <w:style w:type="paragraph" w:styleId="Header">
    <w:name w:val="header"/>
    <w:basedOn w:val="Normal"/>
  </w:style>
  <w:style w:type="character" w:customStyle="1" w:styleId="HeaderChar">
    <w:name w:val="Header Char"/>
    <w:rPr>
      <w:rFonts w:ascii="Times New Roman" w:hAnsi="Times New Roman" w:cs="Times New Roman"/>
      <w:noProof/>
      <w:w w:val="100"/>
      <w:position w:val="-1"/>
      <w:sz w:val="20"/>
      <w:effect w:val="none"/>
      <w:vertAlign w:val="baseline"/>
      <w:cs w:val="0"/>
      <w:em w:val="none"/>
    </w:rPr>
  </w:style>
  <w:style w:type="paragraph" w:styleId="ListParagraph">
    <w:name w:val="List Paragraph"/>
    <w:basedOn w:val="Normal"/>
    <w:pPr>
      <w:spacing w:after="200" w:line="276" w:lineRule="auto"/>
      <w:ind w:left="720"/>
      <w:contextualSpacing/>
      <w:jc w:val="left"/>
    </w:pPr>
    <w:rPr>
      <w:rFonts w:ascii="Calibri" w:hAnsi="Calibri" w:cs="Arial"/>
      <w:noProof w:val="0"/>
      <w:sz w:val="22"/>
      <w:szCs w:val="22"/>
    </w:rPr>
  </w:style>
  <w:style w:type="character" w:customStyle="1" w:styleId="FootnoteCharacters">
    <w:name w:val="Footnote Characters"/>
    <w:rPr>
      <w:w w:val="100"/>
      <w:position w:val="-1"/>
      <w:effect w:val="none"/>
      <w:vertAlign w:val="superscript"/>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character" w:customStyle="1" w:styleId="go">
    <w:name w:val="go"/>
    <w:rPr>
      <w:w w:val="100"/>
      <w:position w:val="-1"/>
      <w:effect w:val="none"/>
      <w:vertAlign w:val="baseline"/>
      <w:cs w:val="0"/>
      <w:em w:val="none"/>
    </w:rPr>
  </w:style>
  <w:style w:type="paragraph" w:customStyle="1" w:styleId="nn">
    <w:name w:val="nn"/>
    <w:basedOn w:val="Normal"/>
    <w:pPr>
      <w:spacing w:line="480" w:lineRule="auto"/>
      <w:ind w:left="567" w:firstLine="709"/>
      <w:jc w:val="both"/>
    </w:pPr>
    <w:rPr>
      <w:noProof w:val="0"/>
      <w:w w:val="120"/>
      <w:sz w:val="24"/>
    </w:rPr>
  </w:style>
  <w:style w:type="character" w:customStyle="1" w:styleId="TitleChar">
    <w:name w:val="Title Char"/>
    <w:rPr>
      <w:rFonts w:ascii="Times New Roman" w:eastAsia="SimSun" w:hAnsi="Times New Roman" w:cs="Times New Roman"/>
      <w:b/>
      <w:w w:val="100"/>
      <w:position w:val="-1"/>
      <w:sz w:val="32"/>
      <w:effect w:val="none"/>
      <w:vertAlign w:val="baseline"/>
      <w:cs w:val="0"/>
      <w:em w:val="none"/>
      <w:lang w:eastAsia="zh-CN"/>
    </w:rPr>
  </w:style>
  <w:style w:type="paragraph" w:customStyle="1" w:styleId="abstrak">
    <w:name w:val="abstrak"/>
    <w:basedOn w:val="BodyText"/>
    <w:pPr>
      <w:spacing w:line="240" w:lineRule="auto"/>
      <w:ind w:left="567" w:right="567"/>
      <w:jc w:val="both"/>
    </w:pPr>
    <w:rPr>
      <w:rFonts w:eastAsia="SimSun"/>
      <w:noProof w:val="0"/>
      <w:sz w:val="20"/>
    </w:rPr>
  </w:style>
  <w:style w:type="character" w:styleId="Hyperlink">
    <w:name w:val="Hyperlink"/>
    <w:qFormat/>
    <w:rPr>
      <w:color w:val="0000FF"/>
      <w:w w:val="100"/>
      <w:position w:val="-1"/>
      <w:u w:val="single"/>
      <w:effect w:val="none"/>
      <w:vertAlign w:val="baseline"/>
      <w:cs w:val="0"/>
      <w:em w:val="none"/>
    </w:rPr>
  </w:style>
  <w:style w:type="character" w:customStyle="1" w:styleId="hps">
    <w:name w:val="hps"/>
    <w:rPr>
      <w:w w:val="100"/>
      <w:position w:val="-1"/>
      <w:effect w:val="none"/>
      <w:vertAlign w:val="baseline"/>
      <w:cs w:val="0"/>
      <w:em w:val="none"/>
    </w:rPr>
  </w:style>
  <w:style w:type="paragraph" w:styleId="NormalWeb">
    <w:name w:val="Normal (Web)"/>
    <w:basedOn w:val="Normal"/>
    <w:uiPriority w:val="99"/>
    <w:pPr>
      <w:spacing w:before="100" w:beforeAutospacing="1" w:after="100" w:afterAutospacing="1"/>
      <w:jc w:val="left"/>
    </w:pPr>
    <w:rPr>
      <w:rFonts w:ascii="Tahoma" w:hAnsi="Tahoma" w:cs="Tahoma"/>
      <w:noProof w:val="0"/>
      <w:sz w:val="24"/>
      <w:szCs w:val="24"/>
      <w:lang w:bidi="th-TH"/>
    </w:rPr>
  </w:style>
  <w:style w:type="character" w:customStyle="1" w:styleId="messagebody">
    <w:name w:val="messagebody"/>
    <w:rPr>
      <w:w w:val="100"/>
      <w:position w:val="-1"/>
      <w:effect w:val="none"/>
      <w:vertAlign w:val="baseline"/>
      <w:cs w:val="0"/>
      <w:em w:val="none"/>
    </w:rPr>
  </w:style>
  <w:style w:type="character" w:customStyle="1" w:styleId="uistreamsource">
    <w:name w:val="uistreamsource"/>
    <w:rPr>
      <w:w w:val="100"/>
      <w:position w:val="-1"/>
      <w:effect w:val="none"/>
      <w:vertAlign w:val="baseline"/>
      <w:cs w:val="0"/>
      <w:em w:val="none"/>
    </w:rPr>
  </w:style>
  <w:style w:type="character" w:styleId="PageNumber">
    <w:name w:val="page number"/>
    <w:rPr>
      <w:w w:val="100"/>
      <w:position w:val="-1"/>
      <w:effect w:val="none"/>
      <w:vertAlign w:val="baseline"/>
      <w:cs w:val="0"/>
      <w:em w:val="none"/>
    </w:rPr>
  </w:style>
  <w:style w:type="character" w:styleId="Emphasis">
    <w:name w:val="Emphasis"/>
    <w:uiPriority w:val="20"/>
    <w:qFormat/>
    <w:rPr>
      <w:i/>
      <w:w w:val="100"/>
      <w:position w:val="-1"/>
      <w:effect w:val="none"/>
      <w:vertAlign w:val="baseline"/>
      <w:cs w:val="0"/>
      <w:em w:val="none"/>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rFonts w:cs="Angsana New"/>
      <w:position w:val="-1"/>
      <w:sz w:val="24"/>
      <w:szCs w:val="28"/>
      <w:lang w:bidi="th-TH"/>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imes New Roman"/>
      <w:noProof/>
      <w:w w:val="100"/>
      <w:position w:val="-1"/>
      <w:sz w:val="16"/>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customStyle="1" w:styleId="mx-05">
    <w:name w:val="mx-0.5"/>
    <w:basedOn w:val="DefaultParagraphFont"/>
    <w:rsid w:val="004F2767"/>
  </w:style>
  <w:style w:type="character" w:styleId="Strong">
    <w:name w:val="Strong"/>
    <w:basedOn w:val="DefaultParagraphFont"/>
    <w:uiPriority w:val="22"/>
    <w:qFormat/>
    <w:rsid w:val="004F27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03014">
      <w:bodyDiv w:val="1"/>
      <w:marLeft w:val="0"/>
      <w:marRight w:val="0"/>
      <w:marTop w:val="0"/>
      <w:marBottom w:val="0"/>
      <w:divBdr>
        <w:top w:val="none" w:sz="0" w:space="0" w:color="auto"/>
        <w:left w:val="none" w:sz="0" w:space="0" w:color="auto"/>
        <w:bottom w:val="none" w:sz="0" w:space="0" w:color="auto"/>
        <w:right w:val="none" w:sz="0" w:space="0" w:color="auto"/>
      </w:divBdr>
    </w:div>
    <w:div w:id="352653831">
      <w:bodyDiv w:val="1"/>
      <w:marLeft w:val="0"/>
      <w:marRight w:val="0"/>
      <w:marTop w:val="0"/>
      <w:marBottom w:val="0"/>
      <w:divBdr>
        <w:top w:val="none" w:sz="0" w:space="0" w:color="auto"/>
        <w:left w:val="none" w:sz="0" w:space="0" w:color="auto"/>
        <w:bottom w:val="none" w:sz="0" w:space="0" w:color="auto"/>
        <w:right w:val="none" w:sz="0" w:space="0" w:color="auto"/>
      </w:divBdr>
    </w:div>
    <w:div w:id="609166746">
      <w:bodyDiv w:val="1"/>
      <w:marLeft w:val="0"/>
      <w:marRight w:val="0"/>
      <w:marTop w:val="0"/>
      <w:marBottom w:val="0"/>
      <w:divBdr>
        <w:top w:val="none" w:sz="0" w:space="0" w:color="auto"/>
        <w:left w:val="none" w:sz="0" w:space="0" w:color="auto"/>
        <w:bottom w:val="none" w:sz="0" w:space="0" w:color="auto"/>
        <w:right w:val="none" w:sz="0" w:space="0" w:color="auto"/>
      </w:divBdr>
    </w:div>
    <w:div w:id="1399208064">
      <w:bodyDiv w:val="1"/>
      <w:marLeft w:val="0"/>
      <w:marRight w:val="0"/>
      <w:marTop w:val="0"/>
      <w:marBottom w:val="0"/>
      <w:divBdr>
        <w:top w:val="none" w:sz="0" w:space="0" w:color="auto"/>
        <w:left w:val="none" w:sz="0" w:space="0" w:color="auto"/>
        <w:bottom w:val="none" w:sz="0" w:space="0" w:color="auto"/>
        <w:right w:val="none" w:sz="0" w:space="0" w:color="auto"/>
      </w:divBdr>
    </w:div>
    <w:div w:id="1784423070">
      <w:bodyDiv w:val="1"/>
      <w:marLeft w:val="0"/>
      <w:marRight w:val="0"/>
      <w:marTop w:val="0"/>
      <w:marBottom w:val="0"/>
      <w:divBdr>
        <w:top w:val="none" w:sz="0" w:space="0" w:color="auto"/>
        <w:left w:val="none" w:sz="0" w:space="0" w:color="auto"/>
        <w:bottom w:val="none" w:sz="0" w:space="0" w:color="auto"/>
        <w:right w:val="none" w:sz="0" w:space="0" w:color="auto"/>
      </w:divBdr>
    </w:div>
    <w:div w:id="1801801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urulainiyahnanasbirru@gmail.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8rlpS65UU+pyMM+07lflQlVS8g==">CgMxLjAyCGguZ2pkZ3hzOAByITFhUUJjNzJtaGlhcFdObTA3TzNBNmR3OTd0LUJwVFpOeg==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2357</Words>
  <Characters>13441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Windows User</cp:lastModifiedBy>
  <cp:revision>23</cp:revision>
  <dcterms:created xsi:type="dcterms:W3CDTF">2024-08-26T14:59:00Z</dcterms:created>
  <dcterms:modified xsi:type="dcterms:W3CDTF">2025-08-06T02:20:00Z</dcterms:modified>
</cp:coreProperties>
</file>