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C68F3" w14:textId="77777777" w:rsidR="00962B34" w:rsidRPr="00CB6986" w:rsidRDefault="00962B34" w:rsidP="00962B34">
      <w:pPr>
        <w:pStyle w:val="BodyText"/>
        <w:ind w:left="125"/>
        <w:jc w:val="left"/>
        <w:rPr>
          <w:rFonts w:ascii="Times New Roman" w:hAnsi="Times New Roman" w:cs="Times New Roman"/>
          <w:sz w:val="20"/>
        </w:rPr>
      </w:pPr>
      <w:r w:rsidRPr="00CB6986">
        <w:rPr>
          <w:rFonts w:ascii="Times New Roman" w:hAnsi="Times New Roman" w:cs="Times New Roman"/>
          <w:noProof/>
          <w:sz w:val="20"/>
        </w:rPr>
        <w:drawing>
          <wp:inline distT="0" distB="0" distL="0" distR="0" wp14:anchorId="66B1D84A" wp14:editId="4FC3850B">
            <wp:extent cx="5398770" cy="357505"/>
            <wp:effectExtent l="19050" t="0" r="0" b="0"/>
            <wp:docPr id="1" name="Picture 1" descr="E:\File kampus\Templat jur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 kampus\Templat jurnal.png"/>
                    <pic:cNvPicPr>
                      <a:picLocks noChangeAspect="1" noChangeArrowheads="1"/>
                    </pic:cNvPicPr>
                  </pic:nvPicPr>
                  <pic:blipFill>
                    <a:blip r:embed="rId8" cstate="print"/>
                    <a:srcRect/>
                    <a:stretch>
                      <a:fillRect/>
                    </a:stretch>
                  </pic:blipFill>
                  <pic:spPr bwMode="auto">
                    <a:xfrm>
                      <a:off x="0" y="0"/>
                      <a:ext cx="5398770" cy="357505"/>
                    </a:xfrm>
                    <a:prstGeom prst="rect">
                      <a:avLst/>
                    </a:prstGeom>
                    <a:noFill/>
                    <a:ln w="9525">
                      <a:noFill/>
                      <a:miter lim="800000"/>
                      <a:headEnd/>
                      <a:tailEnd/>
                    </a:ln>
                  </pic:spPr>
                </pic:pic>
              </a:graphicData>
            </a:graphic>
          </wp:inline>
        </w:drawing>
      </w:r>
    </w:p>
    <w:p w14:paraId="1F531C3A" w14:textId="77777777" w:rsidR="00580CC4" w:rsidRDefault="00580CC4" w:rsidP="00962B34">
      <w:pPr>
        <w:spacing w:before="26" w:line="182" w:lineRule="exact"/>
        <w:ind w:left="230" w:right="240"/>
        <w:jc w:val="center"/>
        <w:rPr>
          <w:rFonts w:ascii="Garamond" w:hAnsi="Garamond" w:cs="Times New Roman"/>
          <w:b/>
          <w:sz w:val="20"/>
          <w:szCs w:val="20"/>
        </w:rPr>
      </w:pPr>
    </w:p>
    <w:p w14:paraId="526EB0C4" w14:textId="77777777" w:rsidR="00962B34" w:rsidRPr="00D96B67" w:rsidRDefault="0085200C" w:rsidP="00962B34">
      <w:pPr>
        <w:spacing w:before="26" w:line="182" w:lineRule="exact"/>
        <w:ind w:left="230" w:right="240"/>
        <w:jc w:val="center"/>
        <w:rPr>
          <w:rFonts w:ascii="Candara" w:hAnsi="Candara" w:cs="Times New Roman"/>
          <w:b/>
          <w:sz w:val="18"/>
          <w:szCs w:val="18"/>
          <w:lang w:val="da-DK"/>
        </w:rPr>
      </w:pPr>
      <w:r w:rsidRPr="00D96B67">
        <w:rPr>
          <w:rFonts w:ascii="Candara" w:hAnsi="Candara" w:cs="Times New Roman"/>
          <w:b/>
          <w:sz w:val="18"/>
          <w:szCs w:val="18"/>
          <w:lang w:val="da-DK"/>
        </w:rPr>
        <w:t>Sirajuddin : J</w:t>
      </w:r>
      <w:r w:rsidR="00962B34" w:rsidRPr="00D96B67">
        <w:rPr>
          <w:rFonts w:ascii="Candara" w:hAnsi="Candara" w:cs="Times New Roman"/>
          <w:b/>
          <w:sz w:val="18"/>
          <w:szCs w:val="18"/>
          <w:lang w:val="da-DK"/>
        </w:rPr>
        <w:t>urnal Penelitian dan Kajian Pendidikan Islam</w:t>
      </w:r>
    </w:p>
    <w:p w14:paraId="7B8024EB" w14:textId="159BC579" w:rsidR="00962B34" w:rsidRPr="0085200C" w:rsidRDefault="00752399" w:rsidP="00962B34">
      <w:pPr>
        <w:spacing w:line="182" w:lineRule="exact"/>
        <w:ind w:left="242" w:right="240"/>
        <w:jc w:val="center"/>
        <w:rPr>
          <w:rFonts w:ascii="Candara" w:hAnsi="Candara" w:cs="Times New Roman"/>
          <w:sz w:val="18"/>
          <w:szCs w:val="18"/>
        </w:rPr>
      </w:pPr>
      <w:r>
        <w:rPr>
          <w:rFonts w:ascii="Candara" w:hAnsi="Candara" w:cs="Times New Roman"/>
          <w:sz w:val="18"/>
          <w:szCs w:val="18"/>
        </w:rPr>
        <w:t>Vol. 04 No. 02 (2025</w:t>
      </w:r>
      <w:r w:rsidR="00962B34" w:rsidRPr="0085200C">
        <w:rPr>
          <w:rFonts w:ascii="Candara" w:hAnsi="Candara" w:cs="Times New Roman"/>
          <w:sz w:val="18"/>
          <w:szCs w:val="18"/>
        </w:rPr>
        <w:t>)</w:t>
      </w:r>
    </w:p>
    <w:p w14:paraId="7E1543C7" w14:textId="77777777" w:rsidR="00962B34" w:rsidRDefault="00962B34" w:rsidP="00962B34">
      <w:pPr>
        <w:spacing w:before="12"/>
        <w:ind w:left="239" w:right="240"/>
        <w:jc w:val="center"/>
        <w:rPr>
          <w:rFonts w:ascii="Garamond" w:hAnsi="Garamond" w:cs="Times New Roman"/>
          <w:color w:val="0070C0"/>
          <w:w w:val="110"/>
          <w:sz w:val="20"/>
          <w:szCs w:val="20"/>
          <w:u w:val="single" w:color="0000FF"/>
        </w:rPr>
      </w:pPr>
      <w:r w:rsidRPr="0085200C">
        <w:rPr>
          <w:rFonts w:ascii="Candara" w:hAnsi="Candara" w:cs="Times New Roman"/>
          <w:w w:val="110"/>
          <w:sz w:val="18"/>
          <w:szCs w:val="18"/>
        </w:rPr>
        <w:t xml:space="preserve">Available online at </w:t>
      </w:r>
      <w:hyperlink r:id="rId9" w:history="1">
        <w:r w:rsidR="003C2CE4" w:rsidRPr="0085200C">
          <w:rPr>
            <w:rStyle w:val="Hyperlink"/>
            <w:rFonts w:ascii="Candara" w:hAnsi="Candara" w:cs="Times New Roman"/>
            <w:w w:val="110"/>
            <w:sz w:val="18"/>
            <w:szCs w:val="18"/>
            <w:u w:color="0000FF"/>
          </w:rPr>
          <w:t>https://ejournal.stismu.ac.id/ojs/index.php/sirajuddin</w:t>
        </w:r>
      </w:hyperlink>
    </w:p>
    <w:p w14:paraId="10D6259A" w14:textId="77777777" w:rsidR="00962B34" w:rsidRDefault="00962B34" w:rsidP="00962B34">
      <w:pPr>
        <w:pStyle w:val="BodyText"/>
        <w:spacing w:before="7"/>
        <w:ind w:left="0"/>
        <w:jc w:val="left"/>
        <w:rPr>
          <w:rFonts w:ascii="Garamond" w:hAnsi="Garamond" w:cs="Times New Roman"/>
          <w:sz w:val="20"/>
          <w:szCs w:val="20"/>
        </w:rPr>
      </w:pPr>
    </w:p>
    <w:p w14:paraId="026D459D" w14:textId="77777777" w:rsidR="003C2CE4" w:rsidRPr="00962B34" w:rsidRDefault="003C2CE4" w:rsidP="00962B34">
      <w:pPr>
        <w:pStyle w:val="BodyText"/>
        <w:spacing w:before="7"/>
        <w:ind w:left="0"/>
        <w:jc w:val="left"/>
        <w:rPr>
          <w:rFonts w:ascii="Garamond" w:hAnsi="Garamond" w:cs="Times New Roman"/>
          <w:sz w:val="20"/>
          <w:szCs w:val="20"/>
        </w:rPr>
      </w:pPr>
    </w:p>
    <w:p w14:paraId="35144225" w14:textId="1159E97C" w:rsidR="0085200C" w:rsidRPr="00D96B67" w:rsidRDefault="00D96B67" w:rsidP="00D96B67">
      <w:pPr>
        <w:jc w:val="center"/>
        <w:rPr>
          <w:rFonts w:ascii="Candara" w:eastAsia="Candara" w:hAnsi="Candara" w:cs="Candara"/>
          <w:b/>
          <w:smallCaps/>
          <w:sz w:val="28"/>
          <w:szCs w:val="28"/>
        </w:rPr>
      </w:pPr>
      <w:r w:rsidRPr="00D96B67">
        <w:rPr>
          <w:rFonts w:ascii="Candara" w:eastAsia="Candara" w:hAnsi="Candara" w:cs="Candara"/>
          <w:b/>
          <w:smallCaps/>
          <w:sz w:val="28"/>
          <w:szCs w:val="28"/>
        </w:rPr>
        <w:t>ANALISIS PEMIKIRAN IBRAHIM MUSTHAFA DALAM PERKEMBANGAN ILMU NAHWU: ANALISIS KRITIS DAN EPISTEMOLOGIS</w:t>
      </w:r>
      <w:r w:rsidR="0085200C">
        <w:rPr>
          <w:noProof/>
        </w:rPr>
        <w:drawing>
          <wp:anchor distT="0" distB="0" distL="114300" distR="114300" simplePos="0" relativeHeight="251659264" behindDoc="0" locked="0" layoutInCell="1" allowOverlap="1" wp14:anchorId="1AD3E1FF" wp14:editId="4D91B5CC">
            <wp:simplePos x="0" y="0"/>
            <wp:positionH relativeFrom="column">
              <wp:posOffset>-139699</wp:posOffset>
            </wp:positionH>
            <wp:positionV relativeFrom="paragraph">
              <wp:posOffset>-1803399</wp:posOffset>
            </wp:positionV>
            <wp:extent cx="4689475" cy="446405"/>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4689475" cy="446405"/>
                    </a:xfrm>
                    <a:prstGeom prst="rect">
                      <a:avLst/>
                    </a:prstGeom>
                    <a:ln/>
                  </pic:spPr>
                </pic:pic>
              </a:graphicData>
            </a:graphic>
          </wp:anchor>
        </w:drawing>
      </w:r>
    </w:p>
    <w:p w14:paraId="653A626E" w14:textId="77777777" w:rsidR="00962B34" w:rsidRPr="00D96B67" w:rsidRDefault="00962B34" w:rsidP="00962B34">
      <w:pPr>
        <w:pStyle w:val="BodyText"/>
        <w:spacing w:before="8"/>
        <w:ind w:left="0"/>
        <w:jc w:val="center"/>
        <w:rPr>
          <w:rFonts w:ascii="Garamond" w:hAnsi="Garamond" w:cs="Times New Roman"/>
          <w:b/>
          <w:sz w:val="20"/>
          <w:szCs w:val="20"/>
        </w:rPr>
      </w:pPr>
    </w:p>
    <w:p w14:paraId="0BDEF067" w14:textId="71CB1AE3" w:rsidR="0085200C" w:rsidRPr="00ED0786" w:rsidRDefault="00D96B67" w:rsidP="00D1132C">
      <w:pPr>
        <w:ind w:firstLine="1"/>
        <w:jc w:val="center"/>
        <w:rPr>
          <w:rFonts w:ascii="Candara" w:eastAsia="Candara" w:hAnsi="Candara" w:cs="Candara"/>
          <w:sz w:val="24"/>
          <w:szCs w:val="24"/>
          <w:vertAlign w:val="superscript"/>
        </w:rPr>
      </w:pPr>
      <w:r w:rsidRPr="00ED0786">
        <w:rPr>
          <w:rFonts w:ascii="Candara" w:eastAsia="Candara" w:hAnsi="Candara" w:cs="Candara"/>
          <w:b/>
          <w:sz w:val="24"/>
          <w:szCs w:val="24"/>
        </w:rPr>
        <w:t>Muhammad Attila Rifiananda</w:t>
      </w:r>
      <w:r w:rsidR="00ED0786">
        <w:rPr>
          <w:rFonts w:ascii="Candara" w:eastAsia="Candara" w:hAnsi="Candara" w:cs="Candara"/>
          <w:b/>
          <w:sz w:val="24"/>
          <w:szCs w:val="24"/>
          <w:vertAlign w:val="superscript"/>
        </w:rPr>
        <w:t>1</w:t>
      </w:r>
      <w:r w:rsidR="00ED0786">
        <w:rPr>
          <w:rFonts w:ascii="Candara" w:eastAsia="Candara" w:hAnsi="Candara" w:cs="Candara"/>
          <w:b/>
          <w:sz w:val="24"/>
          <w:szCs w:val="24"/>
        </w:rPr>
        <w:t>,</w:t>
      </w:r>
      <w:r w:rsidR="00ED0786" w:rsidRPr="00ED0786">
        <w:t xml:space="preserve"> </w:t>
      </w:r>
      <w:r w:rsidR="00ED0786" w:rsidRPr="00ED0786">
        <w:rPr>
          <w:rFonts w:ascii="Candara" w:eastAsia="Candara" w:hAnsi="Candara" w:cs="Candara"/>
          <w:b/>
          <w:sz w:val="24"/>
          <w:szCs w:val="24"/>
        </w:rPr>
        <w:t>Fauzi Ridwan</w:t>
      </w:r>
      <w:r w:rsidR="00ED0786">
        <w:rPr>
          <w:rFonts w:ascii="Candara" w:eastAsia="Candara" w:hAnsi="Candara" w:cs="Candara"/>
          <w:b/>
          <w:sz w:val="24"/>
          <w:szCs w:val="24"/>
          <w:vertAlign w:val="superscript"/>
        </w:rPr>
        <w:t>2</w:t>
      </w:r>
      <w:r w:rsidR="00ED0786">
        <w:rPr>
          <w:rFonts w:ascii="Candara" w:eastAsia="Candara" w:hAnsi="Candara" w:cs="Candara"/>
          <w:b/>
          <w:sz w:val="24"/>
          <w:szCs w:val="24"/>
        </w:rPr>
        <w:t>,</w:t>
      </w:r>
      <w:r w:rsidR="00ED0786" w:rsidRPr="00ED0786">
        <w:t xml:space="preserve"> </w:t>
      </w:r>
      <w:r w:rsidR="00ED0786" w:rsidRPr="00ED0786">
        <w:rPr>
          <w:rFonts w:ascii="Candara" w:eastAsia="Candara" w:hAnsi="Candara" w:cs="Candara"/>
          <w:b/>
          <w:sz w:val="24"/>
          <w:szCs w:val="24"/>
        </w:rPr>
        <w:t>Akhmad</w:t>
      </w:r>
      <w:r w:rsidR="00ED0786">
        <w:rPr>
          <w:rFonts w:ascii="Candara" w:eastAsia="Candara" w:hAnsi="Candara" w:cs="Candara"/>
          <w:b/>
          <w:sz w:val="24"/>
          <w:szCs w:val="24"/>
        </w:rPr>
        <w:t xml:space="preserve"> </w:t>
      </w:r>
      <w:r w:rsidR="00ED0786" w:rsidRPr="00ED0786">
        <w:rPr>
          <w:rFonts w:ascii="Candara" w:eastAsia="Candara" w:hAnsi="Candara" w:cs="Candara"/>
          <w:b/>
          <w:sz w:val="24"/>
          <w:szCs w:val="24"/>
        </w:rPr>
        <w:t>Aliudin</w:t>
      </w:r>
      <w:r w:rsidR="00ED0786">
        <w:rPr>
          <w:rFonts w:ascii="Candara" w:eastAsia="Candara" w:hAnsi="Candara" w:cs="Candara"/>
          <w:b/>
          <w:sz w:val="24"/>
          <w:szCs w:val="24"/>
          <w:vertAlign w:val="superscript"/>
        </w:rPr>
        <w:t>3</w:t>
      </w:r>
      <w:r w:rsidR="00ED0786">
        <w:t xml:space="preserve">, </w:t>
      </w:r>
      <w:r w:rsidR="00ED0786" w:rsidRPr="00ED0786">
        <w:rPr>
          <w:rFonts w:ascii="Candara" w:eastAsia="Candara" w:hAnsi="Candara" w:cs="Candara"/>
          <w:b/>
          <w:sz w:val="24"/>
          <w:szCs w:val="24"/>
        </w:rPr>
        <w:t xml:space="preserve">Candra Agus </w:t>
      </w:r>
      <w:bookmarkStart w:id="0" w:name="_GoBack"/>
      <w:bookmarkEnd w:id="0"/>
      <w:r w:rsidR="00ED0786" w:rsidRPr="00ED0786">
        <w:rPr>
          <w:rFonts w:ascii="Candara" w:eastAsia="Candara" w:hAnsi="Candara" w:cs="Candara"/>
          <w:b/>
          <w:sz w:val="24"/>
          <w:szCs w:val="24"/>
        </w:rPr>
        <w:t>Saputra</w:t>
      </w:r>
      <w:r w:rsidR="00ED0786">
        <w:rPr>
          <w:rFonts w:ascii="Candara" w:eastAsia="Candara" w:hAnsi="Candara" w:cs="Candara"/>
          <w:b/>
          <w:sz w:val="24"/>
          <w:szCs w:val="24"/>
          <w:vertAlign w:val="superscript"/>
        </w:rPr>
        <w:t>4</w:t>
      </w:r>
    </w:p>
    <w:p w14:paraId="02B95C1D" w14:textId="5C57EC21" w:rsidR="0085200C" w:rsidRPr="00D96B67" w:rsidRDefault="00A50C32" w:rsidP="0085200C">
      <w:pPr>
        <w:ind w:left="992" w:hanging="992"/>
        <w:jc w:val="center"/>
        <w:rPr>
          <w:rFonts w:ascii="Candara" w:eastAsia="Candara" w:hAnsi="Candara" w:cs="Candara"/>
          <w:sz w:val="24"/>
          <w:szCs w:val="24"/>
          <w:lang w:val="pt-PT"/>
        </w:rPr>
      </w:pPr>
      <w:r>
        <w:rPr>
          <w:rFonts w:ascii="Candara" w:eastAsia="Candara" w:hAnsi="Candara" w:cs="Candara"/>
          <w:sz w:val="24"/>
          <w:szCs w:val="24"/>
          <w:vertAlign w:val="superscript"/>
          <w:lang w:val="pt-PT"/>
        </w:rPr>
        <w:t>1,2,3,4</w:t>
      </w:r>
      <w:r w:rsidR="00D1132C" w:rsidRPr="00D1132C">
        <w:rPr>
          <w:rFonts w:ascii="Candara" w:eastAsia="Candara" w:hAnsi="Candara" w:cs="Candara"/>
          <w:sz w:val="24"/>
          <w:szCs w:val="24"/>
          <w:lang w:val="pt-PT"/>
        </w:rPr>
        <w:t>Universitas Islam Negeri Sultan Maulana Hasanuddin Banten</w:t>
      </w:r>
    </w:p>
    <w:p w14:paraId="1C0F7CF5" w14:textId="66210921" w:rsidR="0085200C" w:rsidRPr="00D96B67" w:rsidRDefault="00E57D12" w:rsidP="0085200C">
      <w:pPr>
        <w:ind w:left="992" w:hanging="992"/>
        <w:jc w:val="center"/>
        <w:rPr>
          <w:rFonts w:ascii="Candara" w:eastAsia="Candara" w:hAnsi="Candara" w:cs="Candara"/>
          <w:sz w:val="24"/>
          <w:szCs w:val="24"/>
          <w:lang w:val="pt-PT"/>
        </w:rPr>
      </w:pPr>
      <w:hyperlink r:id="rId11" w:history="1">
        <w:r w:rsidR="00D1132C" w:rsidRPr="00CC306F">
          <w:rPr>
            <w:rStyle w:val="Hyperlink"/>
            <w:rFonts w:ascii="Candara" w:eastAsia="Candara" w:hAnsi="Candara" w:cs="Candara"/>
            <w:sz w:val="24"/>
            <w:szCs w:val="24"/>
            <w:lang w:val="pt-PT"/>
          </w:rPr>
          <w:t>muhattila13@gmail.com</w:t>
        </w:r>
      </w:hyperlink>
      <w:r w:rsidR="00D1132C">
        <w:rPr>
          <w:rFonts w:ascii="Candara" w:eastAsia="Candara" w:hAnsi="Candara" w:cs="Candara"/>
          <w:sz w:val="24"/>
          <w:szCs w:val="24"/>
          <w:vertAlign w:val="superscript"/>
          <w:lang w:val="pt-PT"/>
        </w:rPr>
        <w:t>1</w:t>
      </w:r>
      <w:r w:rsidR="00D1132C" w:rsidRPr="00D1132C">
        <w:rPr>
          <w:rFonts w:ascii="Candara" w:eastAsia="Candara" w:hAnsi="Candara" w:cs="Candara"/>
          <w:sz w:val="24"/>
          <w:szCs w:val="24"/>
          <w:lang w:val="pt-PT"/>
        </w:rPr>
        <w:t xml:space="preserve">, </w:t>
      </w:r>
      <w:hyperlink r:id="rId12" w:history="1">
        <w:r w:rsidR="00D1132C" w:rsidRPr="00CC306F">
          <w:rPr>
            <w:rStyle w:val="Hyperlink"/>
            <w:rFonts w:ascii="Candara" w:eastAsia="Candara" w:hAnsi="Candara" w:cs="Candara"/>
            <w:sz w:val="24"/>
            <w:szCs w:val="24"/>
            <w:lang w:val="pt-PT"/>
          </w:rPr>
          <w:t>ahmadaliudin523@gmail.com</w:t>
        </w:r>
      </w:hyperlink>
      <w:r w:rsidR="00D1132C">
        <w:rPr>
          <w:rFonts w:ascii="Candara" w:eastAsia="Candara" w:hAnsi="Candara" w:cs="Candara"/>
          <w:sz w:val="24"/>
          <w:szCs w:val="24"/>
          <w:vertAlign w:val="superscript"/>
          <w:lang w:val="pt-PT"/>
        </w:rPr>
        <w:t>2</w:t>
      </w:r>
      <w:r w:rsidR="00D1132C" w:rsidRPr="00D1132C">
        <w:rPr>
          <w:rFonts w:ascii="Candara" w:eastAsia="Candara" w:hAnsi="Candara" w:cs="Candara"/>
          <w:sz w:val="24"/>
          <w:szCs w:val="24"/>
          <w:lang w:val="pt-PT"/>
        </w:rPr>
        <w:t xml:space="preserve">, </w:t>
      </w:r>
      <w:hyperlink r:id="rId13" w:history="1">
        <w:r w:rsidR="00D1132C" w:rsidRPr="00CC306F">
          <w:rPr>
            <w:rStyle w:val="Hyperlink"/>
            <w:rFonts w:ascii="Candara" w:eastAsia="Candara" w:hAnsi="Candara" w:cs="Candara"/>
            <w:sz w:val="24"/>
            <w:szCs w:val="24"/>
            <w:lang w:val="pt-PT"/>
          </w:rPr>
          <w:t>sultanoji651@gmail.com</w:t>
        </w:r>
      </w:hyperlink>
      <w:r w:rsidR="00D1132C">
        <w:rPr>
          <w:rFonts w:ascii="Candara" w:eastAsia="Candara" w:hAnsi="Candara" w:cs="Candara"/>
          <w:sz w:val="24"/>
          <w:szCs w:val="24"/>
          <w:vertAlign w:val="superscript"/>
          <w:lang w:val="pt-PT"/>
        </w:rPr>
        <w:t>3</w:t>
      </w:r>
      <w:r w:rsidR="00D1132C" w:rsidRPr="00D1132C">
        <w:rPr>
          <w:rFonts w:ascii="Candara" w:eastAsia="Candara" w:hAnsi="Candara" w:cs="Candara"/>
          <w:sz w:val="24"/>
          <w:szCs w:val="24"/>
          <w:lang w:val="pt-PT"/>
        </w:rPr>
        <w:t xml:space="preserve">, </w:t>
      </w:r>
      <w:hyperlink r:id="rId14" w:history="1">
        <w:r w:rsidR="00D1132C" w:rsidRPr="00CC306F">
          <w:rPr>
            <w:rStyle w:val="Hyperlink"/>
            <w:rFonts w:ascii="Candara" w:eastAsia="Candara" w:hAnsi="Candara" w:cs="Candara"/>
            <w:sz w:val="24"/>
            <w:szCs w:val="24"/>
            <w:lang w:val="pt-PT"/>
          </w:rPr>
          <w:t>candraagus1808@gmail.com</w:t>
        </w:r>
      </w:hyperlink>
      <w:r w:rsidR="00D1132C">
        <w:rPr>
          <w:rFonts w:ascii="Candara" w:eastAsia="Candara" w:hAnsi="Candara" w:cs="Candara"/>
          <w:sz w:val="24"/>
          <w:szCs w:val="24"/>
          <w:vertAlign w:val="superscript"/>
          <w:lang w:val="pt-PT"/>
        </w:rPr>
        <w:t>4</w:t>
      </w:r>
      <w:r w:rsidR="00D1132C">
        <w:rPr>
          <w:rFonts w:ascii="Candara" w:eastAsia="Candara" w:hAnsi="Candara" w:cs="Candara"/>
          <w:sz w:val="24"/>
          <w:szCs w:val="24"/>
          <w:lang w:val="pt-PT"/>
        </w:rPr>
        <w:t xml:space="preserve"> </w:t>
      </w:r>
    </w:p>
    <w:p w14:paraId="1939943B" w14:textId="77777777" w:rsidR="0085200C" w:rsidRPr="00D96B67" w:rsidRDefault="0085200C" w:rsidP="0085200C">
      <w:pPr>
        <w:ind w:left="992" w:hanging="992"/>
        <w:jc w:val="center"/>
        <w:rPr>
          <w:rFonts w:ascii="Candara" w:eastAsia="Candara" w:hAnsi="Candara" w:cs="Candara"/>
          <w:sz w:val="24"/>
          <w:szCs w:val="24"/>
          <w:lang w:val="pt-PT"/>
        </w:rPr>
      </w:pPr>
    </w:p>
    <w:p w14:paraId="27BBB1DC" w14:textId="77777777" w:rsidR="00962B34" w:rsidRPr="00D1132C" w:rsidRDefault="00962B34" w:rsidP="00962B34">
      <w:pPr>
        <w:pStyle w:val="BodyText"/>
        <w:spacing w:before="4"/>
        <w:ind w:left="0"/>
        <w:jc w:val="left"/>
        <w:rPr>
          <w:rFonts w:ascii="Garamond" w:hAnsi="Garamond" w:cs="Times New Roman"/>
          <w:sz w:val="20"/>
          <w:szCs w:val="20"/>
          <w:lang w:val="pt-PT"/>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8"/>
        <w:gridCol w:w="2837"/>
        <w:gridCol w:w="2833"/>
      </w:tblGrid>
      <w:tr w:rsidR="0085200C" w:rsidRPr="0085200C" w14:paraId="166AD17E" w14:textId="77777777" w:rsidTr="0085200C">
        <w:trPr>
          <w:trHeight w:val="250"/>
        </w:trPr>
        <w:tc>
          <w:tcPr>
            <w:tcW w:w="8518" w:type="dxa"/>
            <w:gridSpan w:val="3"/>
          </w:tcPr>
          <w:p w14:paraId="66A30104" w14:textId="77777777" w:rsidR="0085200C" w:rsidRPr="0085200C" w:rsidRDefault="0085200C" w:rsidP="0085200C">
            <w:pPr>
              <w:ind w:left="992" w:hanging="992"/>
              <w:jc w:val="center"/>
              <w:rPr>
                <w:rFonts w:ascii="Candara" w:eastAsia="Candara" w:hAnsi="Candara" w:cs="Candara"/>
                <w:sz w:val="20"/>
                <w:szCs w:val="20"/>
              </w:rPr>
            </w:pPr>
            <w:r w:rsidRPr="0085200C">
              <w:rPr>
                <w:rFonts w:ascii="Candara" w:eastAsia="Candara" w:hAnsi="Candara" w:cs="Candara"/>
                <w:sz w:val="20"/>
                <w:szCs w:val="20"/>
              </w:rPr>
              <w:t>DOI :</w:t>
            </w:r>
          </w:p>
        </w:tc>
      </w:tr>
      <w:tr w:rsidR="00962B34" w:rsidRPr="0085200C" w14:paraId="0843FED6" w14:textId="77777777" w:rsidTr="0085200C">
        <w:trPr>
          <w:trHeight w:val="250"/>
        </w:trPr>
        <w:tc>
          <w:tcPr>
            <w:tcW w:w="2848" w:type="dxa"/>
          </w:tcPr>
          <w:p w14:paraId="1AF39CDA" w14:textId="1CDC0A2D" w:rsidR="00962B34" w:rsidRPr="0085200C" w:rsidRDefault="00962B34" w:rsidP="007B06D0">
            <w:pPr>
              <w:pStyle w:val="TableParagraph"/>
              <w:ind w:left="346"/>
              <w:rPr>
                <w:rFonts w:ascii="Candara" w:hAnsi="Candara" w:cs="Times New Roman"/>
                <w:sz w:val="20"/>
                <w:szCs w:val="20"/>
              </w:rPr>
            </w:pPr>
            <w:r w:rsidRPr="0085200C">
              <w:rPr>
                <w:rFonts w:ascii="Candara" w:hAnsi="Candara" w:cs="Times New Roman"/>
                <w:w w:val="110"/>
                <w:sz w:val="20"/>
                <w:szCs w:val="20"/>
              </w:rPr>
              <w:t>Received: April</w:t>
            </w:r>
            <w:r w:rsidR="00192850">
              <w:rPr>
                <w:rFonts w:ascii="Candara" w:hAnsi="Candara" w:cs="Times New Roman"/>
                <w:w w:val="110"/>
                <w:sz w:val="20"/>
                <w:szCs w:val="20"/>
              </w:rPr>
              <w:t xml:space="preserve"> 2025</w:t>
            </w:r>
          </w:p>
        </w:tc>
        <w:tc>
          <w:tcPr>
            <w:tcW w:w="2837" w:type="dxa"/>
          </w:tcPr>
          <w:p w14:paraId="0ED51504" w14:textId="3FB265C6" w:rsidR="00962B34" w:rsidRPr="0085200C" w:rsidRDefault="00962B34" w:rsidP="007B06D0">
            <w:pPr>
              <w:pStyle w:val="TableParagraph"/>
              <w:ind w:left="389" w:right="387"/>
              <w:jc w:val="center"/>
              <w:rPr>
                <w:rFonts w:ascii="Candara" w:hAnsi="Candara" w:cs="Times New Roman"/>
                <w:sz w:val="20"/>
                <w:szCs w:val="20"/>
              </w:rPr>
            </w:pPr>
            <w:r w:rsidRPr="0085200C">
              <w:rPr>
                <w:rFonts w:ascii="Candara" w:hAnsi="Candara" w:cs="Times New Roman"/>
                <w:w w:val="110"/>
                <w:sz w:val="20"/>
                <w:szCs w:val="20"/>
              </w:rPr>
              <w:t xml:space="preserve">Accepted: </w:t>
            </w:r>
            <w:r w:rsidR="00192850">
              <w:rPr>
                <w:rFonts w:ascii="Candara" w:hAnsi="Candara" w:cs="Times New Roman"/>
                <w:w w:val="110"/>
                <w:sz w:val="20"/>
                <w:szCs w:val="20"/>
              </w:rPr>
              <w:t>April 2025</w:t>
            </w:r>
          </w:p>
        </w:tc>
        <w:tc>
          <w:tcPr>
            <w:tcW w:w="2833" w:type="dxa"/>
          </w:tcPr>
          <w:p w14:paraId="1F93E850" w14:textId="112C4E47" w:rsidR="00962B34" w:rsidRPr="0085200C" w:rsidRDefault="00962B34" w:rsidP="007B06D0">
            <w:pPr>
              <w:pStyle w:val="TableParagraph"/>
              <w:ind w:left="494"/>
              <w:rPr>
                <w:rFonts w:ascii="Candara" w:hAnsi="Candara" w:cs="Times New Roman"/>
                <w:sz w:val="20"/>
                <w:szCs w:val="20"/>
              </w:rPr>
            </w:pPr>
            <w:r w:rsidRPr="0085200C">
              <w:rPr>
                <w:rFonts w:ascii="Candara" w:hAnsi="Candara" w:cs="Times New Roman"/>
                <w:w w:val="110"/>
                <w:sz w:val="20"/>
                <w:szCs w:val="20"/>
              </w:rPr>
              <w:t xml:space="preserve">Published: </w:t>
            </w:r>
            <w:r w:rsidR="00192850">
              <w:rPr>
                <w:rFonts w:ascii="Candara" w:hAnsi="Candara" w:cs="Times New Roman"/>
                <w:w w:val="110"/>
                <w:sz w:val="20"/>
                <w:szCs w:val="20"/>
              </w:rPr>
              <w:t>April 2025</w:t>
            </w:r>
          </w:p>
        </w:tc>
      </w:tr>
    </w:tbl>
    <w:p w14:paraId="33940CF1" w14:textId="77777777" w:rsidR="0085200C" w:rsidRDefault="0085200C" w:rsidP="0085200C">
      <w:pPr>
        <w:jc w:val="both"/>
        <w:rPr>
          <w:rFonts w:ascii="Candara" w:eastAsia="Candara" w:hAnsi="Candara" w:cs="Candara"/>
          <w:b/>
          <w:sz w:val="24"/>
          <w:szCs w:val="24"/>
        </w:rPr>
      </w:pPr>
      <w:bookmarkStart w:id="1" w:name="_heading=h.gjdgxs" w:colFirst="0" w:colLast="0"/>
      <w:bookmarkEnd w:id="1"/>
    </w:p>
    <w:p w14:paraId="51C1520A" w14:textId="31647F1D" w:rsidR="0085200C" w:rsidRPr="00D96B67" w:rsidRDefault="0085200C" w:rsidP="002F0A3A">
      <w:pPr>
        <w:ind w:left="992" w:hanging="992"/>
        <w:jc w:val="center"/>
        <w:rPr>
          <w:rFonts w:ascii="Candara" w:eastAsia="Candara" w:hAnsi="Candara" w:cs="Candara"/>
          <w:b/>
          <w:lang w:val="da-DK"/>
        </w:rPr>
      </w:pPr>
      <w:r w:rsidRPr="00D96B67">
        <w:rPr>
          <w:rFonts w:ascii="Candara" w:eastAsia="Candara" w:hAnsi="Candara" w:cs="Candara"/>
          <w:b/>
          <w:lang w:val="da-DK"/>
        </w:rPr>
        <w:t>Abstrak</w:t>
      </w:r>
    </w:p>
    <w:p w14:paraId="00753755" w14:textId="4E7D4B77" w:rsidR="0085200C" w:rsidRPr="002E7571" w:rsidRDefault="002E7571" w:rsidP="00192850">
      <w:pPr>
        <w:pBdr>
          <w:top w:val="nil"/>
          <w:left w:val="nil"/>
          <w:bottom w:val="nil"/>
          <w:right w:val="nil"/>
          <w:between w:val="nil"/>
        </w:pBdr>
        <w:jc w:val="both"/>
        <w:rPr>
          <w:rFonts w:ascii="Candara" w:eastAsia="Candara" w:hAnsi="Candara" w:cs="Candara"/>
          <w:color w:val="000000"/>
          <w:lang w:val="da-DK"/>
        </w:rPr>
      </w:pPr>
      <w:r w:rsidRPr="002E7571">
        <w:rPr>
          <w:rFonts w:ascii="Candara" w:eastAsia="Candara" w:hAnsi="Candara" w:cs="Candara"/>
          <w:color w:val="000000"/>
          <w:lang w:val="da-DK"/>
        </w:rPr>
        <w:t>Penelitian ini bertujuan untuk mengkaji pemikiran Ibrāhīm Mu</w:t>
      </w:r>
      <w:r w:rsidRPr="002E7571">
        <w:rPr>
          <w:rFonts w:ascii="Calibri" w:eastAsia="Candara" w:hAnsi="Calibri" w:cs="Calibri"/>
          <w:color w:val="000000"/>
          <w:lang w:val="da-DK"/>
        </w:rPr>
        <w:t>ṣṭ</w:t>
      </w:r>
      <w:r w:rsidRPr="002E7571">
        <w:rPr>
          <w:rFonts w:ascii="Candara" w:eastAsia="Candara" w:hAnsi="Candara" w:cs="Candara"/>
          <w:color w:val="000000"/>
          <w:lang w:val="da-DK"/>
        </w:rPr>
        <w:t>afā dalam pembaharuan ilmu nahwu melalui pendekatan kritis dan epistemologis. Tokoh ini dikenal sebagai reformis dalam bidang gramatika Arab yang berusaha menyederhanakan dan memodernisasi ilmu nahwu agar lebih fungsional, komunikatif, dan relevan dengan kebutuhan pembelajaran kontemporer. Melalui karya utamanya I</w:t>
      </w:r>
      <w:r w:rsidRPr="002E7571">
        <w:rPr>
          <w:rFonts w:ascii="Calibri" w:eastAsia="Candara" w:hAnsi="Calibri" w:cs="Calibri"/>
          <w:color w:val="000000"/>
          <w:lang w:val="da-DK"/>
        </w:rPr>
        <w:t>ḥ</w:t>
      </w:r>
      <w:r w:rsidRPr="002E7571">
        <w:rPr>
          <w:rFonts w:ascii="Candara" w:eastAsia="Candara" w:hAnsi="Candara" w:cs="Candara"/>
          <w:color w:val="000000"/>
          <w:lang w:val="da-DK"/>
        </w:rPr>
        <w:t>yā’ an-Na</w:t>
      </w:r>
      <w:r w:rsidRPr="002E7571">
        <w:rPr>
          <w:rFonts w:ascii="Calibri" w:eastAsia="Candara" w:hAnsi="Calibri" w:cs="Calibri"/>
          <w:color w:val="000000"/>
          <w:lang w:val="da-DK"/>
        </w:rPr>
        <w:t>ḥ</w:t>
      </w:r>
      <w:r w:rsidRPr="002E7571">
        <w:rPr>
          <w:rFonts w:ascii="Candara" w:eastAsia="Candara" w:hAnsi="Candara" w:cs="Candara"/>
          <w:color w:val="000000"/>
          <w:lang w:val="da-DK"/>
        </w:rPr>
        <w:t>wi, Ibrāhīm Mu</w:t>
      </w:r>
      <w:r w:rsidRPr="002E7571">
        <w:rPr>
          <w:rFonts w:ascii="Calibri" w:eastAsia="Candara" w:hAnsi="Calibri" w:cs="Calibri"/>
          <w:color w:val="000000"/>
          <w:lang w:val="da-DK"/>
        </w:rPr>
        <w:t>ṣṭ</w:t>
      </w:r>
      <w:r w:rsidRPr="002E7571">
        <w:rPr>
          <w:rFonts w:ascii="Candara" w:eastAsia="Candara" w:hAnsi="Candara" w:cs="Candara"/>
          <w:color w:val="000000"/>
          <w:lang w:val="da-DK"/>
        </w:rPr>
        <w:t>afā menyampaikan kritik tajam terhadap kerumitan teori klasik, khususnya konsep ‘āmil, sistem i’rab, dan pendekatan analogi yang dinilai terlalu spekulatif dan membingungkan. Penelitian ini menggunakan metode kualitatif dengan pendekatan studi pustaka dan analisis epistemologis-komparatif, terutama dengan membandingkan konstruksi pemikiran Ibrāhīm Mu</w:t>
      </w:r>
      <w:r w:rsidRPr="002E7571">
        <w:rPr>
          <w:rFonts w:ascii="Calibri" w:eastAsia="Candara" w:hAnsi="Calibri" w:cs="Calibri"/>
          <w:color w:val="000000"/>
          <w:lang w:val="da-DK"/>
        </w:rPr>
        <w:t>ṣṭ</w:t>
      </w:r>
      <w:r w:rsidRPr="002E7571">
        <w:rPr>
          <w:rFonts w:ascii="Candara" w:eastAsia="Candara" w:hAnsi="Candara" w:cs="Candara"/>
          <w:color w:val="000000"/>
          <w:lang w:val="da-DK"/>
        </w:rPr>
        <w:t>afā dengan Imam Sībawaih sebagai tokoh sentral ilmu nahwu klasik. Hasil penelitian menunjukkan bahwa Ibrāhīm Mu</w:t>
      </w:r>
      <w:r w:rsidRPr="002E7571">
        <w:rPr>
          <w:rFonts w:ascii="Calibri" w:eastAsia="Candara" w:hAnsi="Calibri" w:cs="Calibri"/>
          <w:color w:val="000000"/>
          <w:lang w:val="da-DK"/>
        </w:rPr>
        <w:t>ṣṭ</w:t>
      </w:r>
      <w:r w:rsidRPr="002E7571">
        <w:rPr>
          <w:rFonts w:ascii="Candara" w:eastAsia="Candara" w:hAnsi="Candara" w:cs="Candara"/>
          <w:color w:val="000000"/>
          <w:lang w:val="da-DK"/>
        </w:rPr>
        <w:t>afā menawarkan transformasi mendalam dalam struktur, istilah, dan metode pengajaran nahwu yang lebih sederhana dan bermakna. Gagasannya merepresentasikan pergeseran paradigma ilmu nahwu dari pendekatan tekstual ke arah praktis dan kontekstual, sekaligus menjadi jembatan antara tradisi klasik dan dinamika linguistik modern.</w:t>
      </w:r>
    </w:p>
    <w:p w14:paraId="2BD8685C" w14:textId="77777777" w:rsidR="0085200C" w:rsidRPr="002E7571" w:rsidRDefault="0085200C" w:rsidP="0085200C">
      <w:pPr>
        <w:pBdr>
          <w:top w:val="nil"/>
          <w:left w:val="nil"/>
          <w:bottom w:val="nil"/>
          <w:right w:val="nil"/>
          <w:between w:val="nil"/>
        </w:pBdr>
        <w:jc w:val="both"/>
        <w:rPr>
          <w:rFonts w:ascii="Candara" w:eastAsia="Candara" w:hAnsi="Candara" w:cs="Candara"/>
          <w:color w:val="000000"/>
          <w:lang w:val="da-DK"/>
        </w:rPr>
      </w:pPr>
    </w:p>
    <w:p w14:paraId="282858E8" w14:textId="430A9C75" w:rsidR="0085200C" w:rsidRDefault="0085200C" w:rsidP="0085200C">
      <w:pPr>
        <w:jc w:val="both"/>
        <w:rPr>
          <w:rFonts w:ascii="Candara" w:eastAsia="Candara" w:hAnsi="Candara" w:cs="Candara"/>
          <w:iCs/>
          <w:lang w:val="da-DK"/>
        </w:rPr>
      </w:pPr>
      <w:r w:rsidRPr="00D96B67">
        <w:rPr>
          <w:rFonts w:ascii="Candara" w:eastAsia="Candara" w:hAnsi="Candara" w:cs="Candara"/>
          <w:b/>
          <w:lang w:val="da-DK"/>
        </w:rPr>
        <w:t>Kata Kunci</w:t>
      </w:r>
      <w:r w:rsidRPr="00D96B67">
        <w:rPr>
          <w:rFonts w:ascii="Candara" w:eastAsia="Candara" w:hAnsi="Candara" w:cs="Candara"/>
          <w:lang w:val="da-DK"/>
        </w:rPr>
        <w:t xml:space="preserve">: </w:t>
      </w:r>
      <w:r w:rsidR="002E7571" w:rsidRPr="002E7571">
        <w:rPr>
          <w:rFonts w:ascii="Candara" w:eastAsia="Candara" w:hAnsi="Candara" w:cs="Candara"/>
          <w:iCs/>
          <w:lang w:val="da-DK"/>
        </w:rPr>
        <w:t>Ibrāhīm Mu</w:t>
      </w:r>
      <w:r w:rsidR="002E7571" w:rsidRPr="002E7571">
        <w:rPr>
          <w:rFonts w:ascii="Calibri" w:eastAsia="Candara" w:hAnsi="Calibri" w:cs="Calibri"/>
          <w:iCs/>
          <w:lang w:val="da-DK"/>
        </w:rPr>
        <w:t>ṣṭ</w:t>
      </w:r>
      <w:r w:rsidR="002E7571" w:rsidRPr="002E7571">
        <w:rPr>
          <w:rFonts w:ascii="Candara" w:eastAsia="Candara" w:hAnsi="Candara" w:cs="Candara"/>
          <w:iCs/>
          <w:lang w:val="da-DK"/>
        </w:rPr>
        <w:t>afā, Ilmu nahwu, Pembaharuan Epistemologis.</w:t>
      </w:r>
    </w:p>
    <w:p w14:paraId="23B53903" w14:textId="77777777" w:rsidR="00B94D36" w:rsidRDefault="00B94D36" w:rsidP="00B94D36">
      <w:pPr>
        <w:jc w:val="both"/>
        <w:rPr>
          <w:rFonts w:ascii="Candara" w:eastAsia="Candara" w:hAnsi="Candara" w:cs="Candara"/>
          <w:iCs/>
          <w:lang w:val="da-DK"/>
        </w:rPr>
      </w:pPr>
    </w:p>
    <w:p w14:paraId="2E61485B" w14:textId="77777777" w:rsidR="00B94D36" w:rsidRPr="00B94D36" w:rsidRDefault="00B94D36" w:rsidP="002F0A3A">
      <w:pPr>
        <w:jc w:val="center"/>
        <w:rPr>
          <w:rFonts w:ascii="Candara" w:eastAsia="Candara" w:hAnsi="Candara" w:cs="Candara"/>
          <w:b/>
          <w:bCs/>
          <w:i/>
          <w:iCs/>
        </w:rPr>
      </w:pPr>
      <w:r w:rsidRPr="00B94D36">
        <w:rPr>
          <w:rFonts w:ascii="Candara" w:eastAsia="Candara" w:hAnsi="Candara" w:cs="Candara"/>
          <w:b/>
          <w:bCs/>
          <w:i/>
          <w:iCs/>
        </w:rPr>
        <w:t>Abstract</w:t>
      </w:r>
    </w:p>
    <w:p w14:paraId="65219D84" w14:textId="77777777" w:rsidR="00B94D36" w:rsidRPr="00B94D36" w:rsidRDefault="00B94D36" w:rsidP="00B94D36">
      <w:pPr>
        <w:jc w:val="both"/>
        <w:rPr>
          <w:rFonts w:ascii="Candara" w:eastAsia="Candara" w:hAnsi="Candara" w:cs="Candara"/>
          <w:i/>
          <w:iCs/>
        </w:rPr>
      </w:pPr>
      <w:r w:rsidRPr="00B94D36">
        <w:rPr>
          <w:rFonts w:ascii="Candara" w:eastAsia="Candara" w:hAnsi="Candara" w:cs="Candara"/>
          <w:i/>
          <w:iCs/>
        </w:rPr>
        <w:t>This study aims to examine the thoughts of Ibrāhīm Mu</w:t>
      </w:r>
      <w:r w:rsidRPr="00B94D36">
        <w:rPr>
          <w:rFonts w:ascii="Calibri" w:eastAsia="Candara" w:hAnsi="Calibri" w:cs="Calibri"/>
          <w:i/>
          <w:iCs/>
        </w:rPr>
        <w:t>ṣṭ</w:t>
      </w:r>
      <w:r w:rsidRPr="00B94D36">
        <w:rPr>
          <w:rFonts w:ascii="Candara" w:eastAsia="Candara" w:hAnsi="Candara" w:cs="Candara"/>
          <w:i/>
          <w:iCs/>
        </w:rPr>
        <w:t>afā in the renewal of Arabic grammar (nahwu) through a critical and epistemological approach. Recognized as a reformist in Arabic linguistics, Ibrāhīm Mu</w:t>
      </w:r>
      <w:r w:rsidRPr="00B94D36">
        <w:rPr>
          <w:rFonts w:ascii="Calibri" w:eastAsia="Candara" w:hAnsi="Calibri" w:cs="Calibri"/>
          <w:i/>
          <w:iCs/>
        </w:rPr>
        <w:t>ṣṭ</w:t>
      </w:r>
      <w:r w:rsidRPr="00B94D36">
        <w:rPr>
          <w:rFonts w:ascii="Candara" w:eastAsia="Candara" w:hAnsi="Candara" w:cs="Candara"/>
          <w:i/>
          <w:iCs/>
        </w:rPr>
        <w:t>afā sought to simplify and modernize traditional nahwu to make it more functional, communicative, and relevant to contemporary language learning needs. In his seminal work I</w:t>
      </w:r>
      <w:r w:rsidRPr="00B94D36">
        <w:rPr>
          <w:rFonts w:ascii="Calibri" w:eastAsia="Candara" w:hAnsi="Calibri" w:cs="Calibri"/>
          <w:i/>
          <w:iCs/>
        </w:rPr>
        <w:t>ḥ</w:t>
      </w:r>
      <w:r w:rsidRPr="00B94D36">
        <w:rPr>
          <w:rFonts w:ascii="Candara" w:eastAsia="Candara" w:hAnsi="Candara" w:cs="Candara"/>
          <w:i/>
          <w:iCs/>
        </w:rPr>
        <w:t>yā’ an-Na</w:t>
      </w:r>
      <w:r w:rsidRPr="00B94D36">
        <w:rPr>
          <w:rFonts w:ascii="Calibri" w:eastAsia="Candara" w:hAnsi="Calibri" w:cs="Calibri"/>
          <w:i/>
          <w:iCs/>
        </w:rPr>
        <w:t>ḥ</w:t>
      </w:r>
      <w:r w:rsidRPr="00B94D36">
        <w:rPr>
          <w:rFonts w:ascii="Candara" w:eastAsia="Candara" w:hAnsi="Candara" w:cs="Candara"/>
          <w:i/>
          <w:iCs/>
        </w:rPr>
        <w:t>wi, he presents sharp critiques of the complexities of classical grammar, particularly the concept of ‘āmil, the i‘rāb system, and the excessive reliance on speculative analogical reasoning. This research uses a qualitative library research method with an epistemological-comparative analysis, especially by contrasting the perspectives of Ibrāhīm Mu</w:t>
      </w:r>
      <w:r w:rsidRPr="00B94D36">
        <w:rPr>
          <w:rFonts w:ascii="Calibri" w:eastAsia="Candara" w:hAnsi="Calibri" w:cs="Calibri"/>
          <w:i/>
          <w:iCs/>
        </w:rPr>
        <w:t>ṣṭ</w:t>
      </w:r>
      <w:r w:rsidRPr="00B94D36">
        <w:rPr>
          <w:rFonts w:ascii="Candara" w:eastAsia="Candara" w:hAnsi="Candara" w:cs="Candara"/>
          <w:i/>
          <w:iCs/>
        </w:rPr>
        <w:t>afā with those of Imam Sībawaih, the foundational figure of classical nahwu. The findings reveal that Ibrāhīm Mu</w:t>
      </w:r>
      <w:r w:rsidRPr="00B94D36">
        <w:rPr>
          <w:rFonts w:ascii="Calibri" w:eastAsia="Candara" w:hAnsi="Calibri" w:cs="Calibri"/>
          <w:i/>
          <w:iCs/>
        </w:rPr>
        <w:t>ṣṭ</w:t>
      </w:r>
      <w:r w:rsidRPr="00B94D36">
        <w:rPr>
          <w:rFonts w:ascii="Candara" w:eastAsia="Candara" w:hAnsi="Candara" w:cs="Candara"/>
          <w:i/>
          <w:iCs/>
        </w:rPr>
        <w:t>afā offers a deep transformation in structure, terminology, and teaching methods of nahwu, making it simpler and more meaningful. His ideas represent a paradigm shift from a rigid textual tradition to a practical and contextual linguistic framework, bridging classical heritage with modern linguistic discourse.</w:t>
      </w:r>
    </w:p>
    <w:p w14:paraId="55A4B9F7" w14:textId="77777777" w:rsidR="00B94D36" w:rsidRPr="00B94D36" w:rsidRDefault="00B94D36" w:rsidP="00B94D36">
      <w:pPr>
        <w:jc w:val="both"/>
        <w:rPr>
          <w:rFonts w:ascii="Candara" w:eastAsia="Candara" w:hAnsi="Candara" w:cs="Candara"/>
          <w:i/>
          <w:iCs/>
        </w:rPr>
      </w:pPr>
    </w:p>
    <w:p w14:paraId="3F1FAD83" w14:textId="2B7F1532" w:rsidR="00B94D36" w:rsidRPr="00B94D36" w:rsidRDefault="00B94D36" w:rsidP="00B94D36">
      <w:pPr>
        <w:jc w:val="both"/>
        <w:rPr>
          <w:rFonts w:ascii="Candara" w:eastAsia="Candara" w:hAnsi="Candara" w:cs="Candara"/>
          <w:i/>
          <w:iCs/>
          <w:lang w:val="da-DK"/>
        </w:rPr>
      </w:pPr>
      <w:r w:rsidRPr="00B94D36">
        <w:rPr>
          <w:rFonts w:ascii="Candara" w:eastAsia="Candara" w:hAnsi="Candara" w:cs="Candara"/>
          <w:b/>
          <w:bCs/>
          <w:i/>
          <w:iCs/>
          <w:lang w:val="da-DK"/>
        </w:rPr>
        <w:t>Keywords:</w:t>
      </w:r>
      <w:r w:rsidRPr="00B94D36">
        <w:rPr>
          <w:rFonts w:ascii="Candara" w:eastAsia="Candara" w:hAnsi="Candara" w:cs="Candara"/>
          <w:i/>
          <w:iCs/>
          <w:lang w:val="da-DK"/>
        </w:rPr>
        <w:t xml:space="preserve"> Ibrāhīm Mu</w:t>
      </w:r>
      <w:r w:rsidRPr="00B94D36">
        <w:rPr>
          <w:rFonts w:ascii="Calibri" w:eastAsia="Candara" w:hAnsi="Calibri" w:cs="Calibri"/>
          <w:i/>
          <w:iCs/>
          <w:lang w:val="da-DK"/>
        </w:rPr>
        <w:t>ṣṭ</w:t>
      </w:r>
      <w:r w:rsidRPr="00B94D36">
        <w:rPr>
          <w:rFonts w:ascii="Candara" w:eastAsia="Candara" w:hAnsi="Candara" w:cs="Candara"/>
          <w:i/>
          <w:iCs/>
          <w:lang w:val="da-DK"/>
        </w:rPr>
        <w:t>afā, Nahwu grammar, Epistemological Reform.</w:t>
      </w:r>
    </w:p>
    <w:p w14:paraId="2EE78633" w14:textId="77777777" w:rsidR="0085200C" w:rsidRPr="00D96B67" w:rsidRDefault="0085200C" w:rsidP="0085200C">
      <w:pPr>
        <w:pBdr>
          <w:top w:val="nil"/>
          <w:left w:val="nil"/>
          <w:bottom w:val="nil"/>
          <w:right w:val="nil"/>
          <w:between w:val="nil"/>
        </w:pBdr>
        <w:jc w:val="both"/>
        <w:rPr>
          <w:rFonts w:ascii="Candara" w:eastAsia="Candara" w:hAnsi="Candara" w:cs="Candara"/>
          <w:color w:val="000000"/>
          <w:sz w:val="24"/>
          <w:szCs w:val="24"/>
          <w:lang w:val="da-DK"/>
        </w:rPr>
      </w:pPr>
    </w:p>
    <w:p w14:paraId="0314206B" w14:textId="455CD82F" w:rsidR="0085200C" w:rsidRPr="002E7571" w:rsidRDefault="0085200C" w:rsidP="00B94D36">
      <w:pPr>
        <w:jc w:val="both"/>
        <w:rPr>
          <w:rFonts w:ascii="Candara" w:eastAsia="Candara" w:hAnsi="Candara" w:cs="Candara"/>
          <w:b/>
          <w:sz w:val="24"/>
          <w:szCs w:val="24"/>
          <w:lang w:val="da-DK"/>
        </w:rPr>
      </w:pPr>
      <w:r w:rsidRPr="002E7571">
        <w:rPr>
          <w:rFonts w:ascii="Candara" w:eastAsia="Candara" w:hAnsi="Candara" w:cs="Candara"/>
          <w:b/>
          <w:sz w:val="24"/>
          <w:szCs w:val="24"/>
          <w:lang w:val="da-DK"/>
        </w:rPr>
        <w:lastRenderedPageBreak/>
        <w:t>Pendahuluan</w:t>
      </w:r>
    </w:p>
    <w:p w14:paraId="4364442A" w14:textId="4E96A1B1" w:rsidR="002F0A3A" w:rsidRPr="002F0A3A" w:rsidRDefault="002F0A3A" w:rsidP="002F0A3A">
      <w:pPr>
        <w:ind w:firstLine="720"/>
        <w:jc w:val="both"/>
        <w:rPr>
          <w:rFonts w:ascii="Candara" w:eastAsia="Candara" w:hAnsi="Candara" w:cs="Candara"/>
          <w:sz w:val="24"/>
          <w:szCs w:val="24"/>
          <w:lang w:val="da-DK"/>
        </w:rPr>
      </w:pPr>
      <w:r w:rsidRPr="002F0A3A">
        <w:rPr>
          <w:rFonts w:ascii="Candara" w:eastAsia="Candara" w:hAnsi="Candara" w:cs="Candara"/>
          <w:sz w:val="24"/>
          <w:szCs w:val="24"/>
          <w:lang w:val="da-DK"/>
        </w:rPr>
        <w:t>Ilmu nahwu merupakan salah satu cabang utama dalam studi kebahasaan Arab yang memiliki peranan sentral dalam memahami struktur kalimat dan makna teks, khususnya dalam konteks keislaman. (Rasikhullah &amp; Ahmad, 2023) Nahwu tidak hanya menjadi alat bantu memahami Al-Qur’an dan Hadis, tetapi juga menjadi fondasi penting dalam tradisi keilmuan Islam klasik. Oleh karena itu, setiap perubahan atau pembaharuan dalam disiplin ini akan memberikan dampak yang signifikan terhadap arah dan metodologi kajian keislaman itu sendiri.</w:t>
      </w:r>
    </w:p>
    <w:p w14:paraId="7897D187" w14:textId="77777777" w:rsidR="002F0A3A" w:rsidRPr="002F0A3A" w:rsidRDefault="002F0A3A" w:rsidP="002F0A3A">
      <w:pPr>
        <w:ind w:firstLine="720"/>
        <w:jc w:val="both"/>
        <w:rPr>
          <w:rFonts w:ascii="Candara" w:eastAsia="Candara" w:hAnsi="Candara" w:cs="Candara"/>
          <w:sz w:val="24"/>
          <w:szCs w:val="24"/>
          <w:lang w:val="da-DK"/>
        </w:rPr>
      </w:pPr>
      <w:r w:rsidRPr="002F0A3A">
        <w:rPr>
          <w:rFonts w:ascii="Candara" w:eastAsia="Candara" w:hAnsi="Candara" w:cs="Candara"/>
          <w:sz w:val="24"/>
          <w:szCs w:val="24"/>
          <w:lang w:val="da-DK"/>
        </w:rPr>
        <w:t>Seiring dengan perkembangan zaman dan kebutuhan metodologis yang terus berubah, muncul pemikiran-pemikiran baru yang mencoba menawarkan pembacaan ulang terhadap konsep-konsep dasar dalam ilmu nahwu. Salah satu tokoh penting dalam arus pembaharuan ini adalah Ibrāhīm Mu</w:t>
      </w:r>
      <w:r w:rsidRPr="002F0A3A">
        <w:rPr>
          <w:rFonts w:ascii="Calibri" w:eastAsia="Candara" w:hAnsi="Calibri" w:cs="Calibri"/>
          <w:sz w:val="24"/>
          <w:szCs w:val="24"/>
          <w:lang w:val="da-DK"/>
        </w:rPr>
        <w:t>ṣṭ</w:t>
      </w:r>
      <w:r w:rsidRPr="002F0A3A">
        <w:rPr>
          <w:rFonts w:ascii="Candara" w:eastAsia="Candara" w:hAnsi="Candara" w:cs="Candara"/>
          <w:sz w:val="24"/>
          <w:szCs w:val="24"/>
          <w:lang w:val="da-DK"/>
        </w:rPr>
        <w:t>afā, seorang intelektual modern asal Mesir yang dikenal dengan kritik-kritik tajamnya terhadap konstruksi nahwu klasik. Melalui karyanya yang terkenal I</w:t>
      </w:r>
      <w:r w:rsidRPr="002F0A3A">
        <w:rPr>
          <w:rFonts w:ascii="Calibri" w:eastAsia="Candara" w:hAnsi="Calibri" w:cs="Calibri"/>
          <w:sz w:val="24"/>
          <w:szCs w:val="24"/>
          <w:lang w:val="da-DK"/>
        </w:rPr>
        <w:t>ḥ</w:t>
      </w:r>
      <w:r w:rsidRPr="002F0A3A">
        <w:rPr>
          <w:rFonts w:ascii="Candara" w:eastAsia="Candara" w:hAnsi="Candara" w:cs="Candara"/>
          <w:sz w:val="24"/>
          <w:szCs w:val="24"/>
          <w:lang w:val="da-DK"/>
        </w:rPr>
        <w:t>yā’ an-Na</w:t>
      </w:r>
      <w:r w:rsidRPr="002F0A3A">
        <w:rPr>
          <w:rFonts w:ascii="Calibri" w:eastAsia="Candara" w:hAnsi="Calibri" w:cs="Calibri"/>
          <w:sz w:val="24"/>
          <w:szCs w:val="24"/>
          <w:lang w:val="da-DK"/>
        </w:rPr>
        <w:t>ḥ</w:t>
      </w:r>
      <w:r w:rsidRPr="002F0A3A">
        <w:rPr>
          <w:rFonts w:ascii="Candara" w:eastAsia="Candara" w:hAnsi="Candara" w:cs="Candara"/>
          <w:sz w:val="24"/>
          <w:szCs w:val="24"/>
          <w:lang w:val="da-DK"/>
        </w:rPr>
        <w:t>wi, ia mencoba merumuskan ulang definisi, struktur, dan prinsip-prinsip nahwu agar lebih kontekstual dan mudah dipahami oleh generasi modern. (Ramadhan, 2020)</w:t>
      </w:r>
    </w:p>
    <w:p w14:paraId="734E12D0" w14:textId="77777777" w:rsidR="002F0A3A" w:rsidRPr="002F0A3A" w:rsidRDefault="002F0A3A" w:rsidP="002F0A3A">
      <w:pPr>
        <w:ind w:firstLine="720"/>
        <w:jc w:val="both"/>
        <w:rPr>
          <w:rFonts w:ascii="Candara" w:eastAsia="Candara" w:hAnsi="Candara" w:cs="Candara"/>
          <w:sz w:val="24"/>
          <w:szCs w:val="24"/>
          <w:lang w:val="da-DK"/>
        </w:rPr>
      </w:pPr>
      <w:r w:rsidRPr="002F0A3A">
        <w:rPr>
          <w:rFonts w:ascii="Candara" w:eastAsia="Candara" w:hAnsi="Candara" w:cs="Candara"/>
          <w:sz w:val="24"/>
          <w:szCs w:val="24"/>
          <w:lang w:val="da-DK"/>
        </w:rPr>
        <w:t>Pemikiran Ibrāhīm Mu</w:t>
      </w:r>
      <w:r w:rsidRPr="002F0A3A">
        <w:rPr>
          <w:rFonts w:ascii="Calibri" w:eastAsia="Candara" w:hAnsi="Calibri" w:cs="Calibri"/>
          <w:sz w:val="24"/>
          <w:szCs w:val="24"/>
          <w:lang w:val="da-DK"/>
        </w:rPr>
        <w:t>ṣṭ</w:t>
      </w:r>
      <w:r w:rsidRPr="002F0A3A">
        <w:rPr>
          <w:rFonts w:ascii="Candara" w:eastAsia="Candara" w:hAnsi="Candara" w:cs="Candara"/>
          <w:sz w:val="24"/>
          <w:szCs w:val="24"/>
          <w:lang w:val="da-DK"/>
        </w:rPr>
        <w:t>afā muncul sebagai respons terhadap kompleksitas dan rigiditas ilmu nahwu klasik yang selama berabad-abad mendominasi kajian sintaksis Arab. Ia menyoroti kelemahan sistem ‘āmil, penumpukan istilah, dan kerumitan dalam pendekatan analogis (qiyāsī) yang dinilai tidak lagi relevan dalam konteks pembelajaran bahasa Arab kontemporer. Selain itu, Ibrāhīm Mu</w:t>
      </w:r>
      <w:r w:rsidRPr="002F0A3A">
        <w:rPr>
          <w:rFonts w:ascii="Calibri" w:eastAsia="Candara" w:hAnsi="Calibri" w:cs="Calibri"/>
          <w:sz w:val="24"/>
          <w:szCs w:val="24"/>
          <w:lang w:val="da-DK"/>
        </w:rPr>
        <w:t>ṣṭ</w:t>
      </w:r>
      <w:r w:rsidRPr="002F0A3A">
        <w:rPr>
          <w:rFonts w:ascii="Candara" w:eastAsia="Candara" w:hAnsi="Candara" w:cs="Candara"/>
          <w:sz w:val="24"/>
          <w:szCs w:val="24"/>
          <w:lang w:val="da-DK"/>
        </w:rPr>
        <w:t>afā juga mengadopsi pendekatan linguistik modern yang lebih fungsional dan komunikatif, menjadikan pembaharuan nahwu tidak hanya sebagai wacana teoritik, tetapi juga solusi praktis dalam pengajaran.</w:t>
      </w:r>
    </w:p>
    <w:p w14:paraId="1534AFA0" w14:textId="77777777" w:rsidR="002F0A3A" w:rsidRPr="002F0A3A" w:rsidRDefault="002F0A3A" w:rsidP="002F0A3A">
      <w:pPr>
        <w:ind w:firstLine="720"/>
        <w:jc w:val="both"/>
        <w:rPr>
          <w:rFonts w:ascii="Candara" w:eastAsia="Candara" w:hAnsi="Candara" w:cs="Candara"/>
          <w:sz w:val="24"/>
          <w:szCs w:val="24"/>
          <w:lang w:val="da-DK"/>
        </w:rPr>
      </w:pPr>
      <w:r w:rsidRPr="002F0A3A">
        <w:rPr>
          <w:rFonts w:ascii="Candara" w:eastAsia="Candara" w:hAnsi="Candara" w:cs="Candara"/>
          <w:sz w:val="24"/>
          <w:szCs w:val="24"/>
          <w:lang w:val="da-DK"/>
        </w:rPr>
        <w:t>Dari sisi epistemologi, pembaharuan yang ditawarkan oleh Ibrāhīm Mu</w:t>
      </w:r>
      <w:r w:rsidRPr="002F0A3A">
        <w:rPr>
          <w:rFonts w:ascii="Calibri" w:eastAsia="Candara" w:hAnsi="Calibri" w:cs="Calibri"/>
          <w:sz w:val="24"/>
          <w:szCs w:val="24"/>
          <w:lang w:val="da-DK"/>
        </w:rPr>
        <w:t>ṣṭ</w:t>
      </w:r>
      <w:r w:rsidRPr="002F0A3A">
        <w:rPr>
          <w:rFonts w:ascii="Candara" w:eastAsia="Candara" w:hAnsi="Candara" w:cs="Candara"/>
          <w:sz w:val="24"/>
          <w:szCs w:val="24"/>
          <w:lang w:val="da-DK"/>
        </w:rPr>
        <w:t>afā tidak hanya menyentuh aspek teknis kebahasaan, melainkan juga menyentuh akar filosofis dari ilmu nahwu itu sendiri. Ia mempertanyakan dasar-dasar keilmuan seperti validitas i’rab sebagai sistem penanda makna, serta otoritas teks klasik yang selama ini dijadikan rujukan tunggal. Perspektif ini membuka ruang dialog antara tradisi dan modernitas, sekaligus menggugah kesadaran kritis terhadap pentingnya pembacaan ulang terhadap warisan keilmuan Islam.</w:t>
      </w:r>
    </w:p>
    <w:p w14:paraId="21423C8F" w14:textId="77777777" w:rsidR="002F0A3A" w:rsidRPr="002F0A3A" w:rsidRDefault="002F0A3A" w:rsidP="002F0A3A">
      <w:pPr>
        <w:ind w:firstLine="720"/>
        <w:jc w:val="both"/>
        <w:rPr>
          <w:rFonts w:ascii="Candara" w:eastAsia="Candara" w:hAnsi="Candara" w:cs="Candara"/>
          <w:sz w:val="24"/>
          <w:szCs w:val="24"/>
          <w:lang w:val="da-DK"/>
        </w:rPr>
      </w:pPr>
      <w:r w:rsidRPr="002F0A3A">
        <w:rPr>
          <w:rFonts w:ascii="Candara" w:eastAsia="Candara" w:hAnsi="Candara" w:cs="Candara"/>
          <w:sz w:val="24"/>
          <w:szCs w:val="24"/>
          <w:lang w:val="da-DK"/>
        </w:rPr>
        <w:t>Analisis terhadap pemikiran Ibrāhīm Mu</w:t>
      </w:r>
      <w:r w:rsidRPr="002F0A3A">
        <w:rPr>
          <w:rFonts w:ascii="Calibri" w:eastAsia="Candara" w:hAnsi="Calibri" w:cs="Calibri"/>
          <w:sz w:val="24"/>
          <w:szCs w:val="24"/>
          <w:lang w:val="da-DK"/>
        </w:rPr>
        <w:t>ṣṭ</w:t>
      </w:r>
      <w:r w:rsidRPr="002F0A3A">
        <w:rPr>
          <w:rFonts w:ascii="Candara" w:eastAsia="Candara" w:hAnsi="Candara" w:cs="Candara"/>
          <w:sz w:val="24"/>
          <w:szCs w:val="24"/>
          <w:lang w:val="da-DK"/>
        </w:rPr>
        <w:t>afā menjadi semakin menarik ketika dibandingkan dengan tokoh klasik seperti Imam Sībawaih yang dianggap sebagai peletak dasar ilmu nahwu melalui karya monumentalnya Al-Kitāb. Dengan membandingkan kedua tokoh ini, kita dapat melihat bagaimana konsep-konsep lama dibongkar, dikaji ulang, dan disusun kembali dengan pendekatan baru yang lebih sesuai dengan kebutuhan zaman. Pendekatan ini dikenal sebagai pendekatan epistemologis-komparatif yang menitikberatkan pada bagaimana pengetahuan disusun, dikritisi, dan dikembangkan.</w:t>
      </w:r>
    </w:p>
    <w:p w14:paraId="53A9A80F" w14:textId="0519EC9B" w:rsidR="0085200C" w:rsidRPr="002F0A3A" w:rsidRDefault="002F0A3A" w:rsidP="002F0A3A">
      <w:pPr>
        <w:ind w:firstLine="720"/>
        <w:jc w:val="both"/>
        <w:rPr>
          <w:rFonts w:ascii="Candara" w:eastAsia="Candara" w:hAnsi="Candara" w:cs="Candara"/>
          <w:sz w:val="24"/>
          <w:szCs w:val="24"/>
          <w:lang w:val="da-DK"/>
        </w:rPr>
      </w:pPr>
      <w:r w:rsidRPr="002F0A3A">
        <w:rPr>
          <w:rFonts w:ascii="Candara" w:eastAsia="Candara" w:hAnsi="Candara" w:cs="Candara"/>
          <w:sz w:val="24"/>
          <w:szCs w:val="24"/>
          <w:lang w:val="da-DK"/>
        </w:rPr>
        <w:t>Oleh karena itu, dalam tulisan ini akan dikaji secara mendalam pemikiran Ibrāhīm Mu</w:t>
      </w:r>
      <w:r w:rsidRPr="002F0A3A">
        <w:rPr>
          <w:rFonts w:ascii="Calibri" w:eastAsia="Candara" w:hAnsi="Calibri" w:cs="Calibri"/>
          <w:sz w:val="24"/>
          <w:szCs w:val="24"/>
          <w:lang w:val="da-DK"/>
        </w:rPr>
        <w:t>ṣṭ</w:t>
      </w:r>
      <w:r w:rsidRPr="002F0A3A">
        <w:rPr>
          <w:rFonts w:ascii="Candara" w:eastAsia="Candara" w:hAnsi="Candara" w:cs="Candara"/>
          <w:sz w:val="24"/>
          <w:szCs w:val="24"/>
          <w:lang w:val="da-DK"/>
        </w:rPr>
        <w:t>afā dalam kontribusinya terhadap perkembangan ilmu nahwu, dengan pendekatan kritis dan epistemologis. Kajian ini tidak hanya penting sebagai refleksi terhadap sejarah perkembangan nahwu, tetapi juga sebagai landasan dalam merancang model pembelajaran nahwu yang lebih adaptif dan kontekstual. Dengan demikian, diharapkan dapat memberikan kontribusi positif bagi pengembangan studi linguistik Arab di era modern.</w:t>
      </w:r>
    </w:p>
    <w:p w14:paraId="2EA13273" w14:textId="77777777" w:rsidR="0085200C" w:rsidRDefault="0085200C" w:rsidP="0085200C">
      <w:pPr>
        <w:ind w:firstLine="720"/>
        <w:jc w:val="both"/>
        <w:rPr>
          <w:rFonts w:ascii="Candara" w:eastAsia="Candara" w:hAnsi="Candara" w:cs="Candara"/>
          <w:sz w:val="24"/>
          <w:szCs w:val="24"/>
          <w:lang w:val="da-DK"/>
        </w:rPr>
      </w:pPr>
    </w:p>
    <w:p w14:paraId="59BB947F" w14:textId="77777777" w:rsidR="002F0A3A" w:rsidRDefault="002F0A3A" w:rsidP="0085200C">
      <w:pPr>
        <w:ind w:firstLine="720"/>
        <w:jc w:val="both"/>
        <w:rPr>
          <w:rFonts w:ascii="Candara" w:eastAsia="Candara" w:hAnsi="Candara" w:cs="Candara"/>
          <w:sz w:val="24"/>
          <w:szCs w:val="24"/>
          <w:lang w:val="da-DK"/>
        </w:rPr>
      </w:pPr>
    </w:p>
    <w:p w14:paraId="1169EEF2" w14:textId="77777777" w:rsidR="002F0A3A" w:rsidRDefault="002F0A3A" w:rsidP="0085200C">
      <w:pPr>
        <w:ind w:firstLine="720"/>
        <w:jc w:val="both"/>
        <w:rPr>
          <w:rFonts w:ascii="Candara" w:eastAsia="Candara" w:hAnsi="Candara" w:cs="Candara"/>
          <w:sz w:val="24"/>
          <w:szCs w:val="24"/>
          <w:lang w:val="da-DK"/>
        </w:rPr>
      </w:pPr>
    </w:p>
    <w:p w14:paraId="3728DC32" w14:textId="77777777" w:rsidR="002F0A3A" w:rsidRDefault="002F0A3A" w:rsidP="0085200C">
      <w:pPr>
        <w:ind w:firstLine="720"/>
        <w:jc w:val="both"/>
        <w:rPr>
          <w:rFonts w:ascii="Candara" w:eastAsia="Candara" w:hAnsi="Candara" w:cs="Candara"/>
          <w:sz w:val="24"/>
          <w:szCs w:val="24"/>
          <w:lang w:val="da-DK"/>
        </w:rPr>
      </w:pPr>
    </w:p>
    <w:p w14:paraId="10BD31AC" w14:textId="77777777" w:rsidR="002F0A3A" w:rsidRPr="002F0A3A" w:rsidRDefault="002F0A3A" w:rsidP="0085200C">
      <w:pPr>
        <w:ind w:firstLine="720"/>
        <w:jc w:val="both"/>
        <w:rPr>
          <w:rFonts w:ascii="Candara" w:eastAsia="Candara" w:hAnsi="Candara" w:cs="Candara"/>
          <w:sz w:val="24"/>
          <w:szCs w:val="24"/>
          <w:lang w:val="da-DK"/>
        </w:rPr>
      </w:pPr>
    </w:p>
    <w:p w14:paraId="791927F0" w14:textId="53F92B6D" w:rsidR="0085200C" w:rsidRPr="00D96B67" w:rsidRDefault="0085200C" w:rsidP="0085200C">
      <w:pPr>
        <w:jc w:val="both"/>
        <w:rPr>
          <w:rFonts w:ascii="Candara" w:eastAsia="Candara" w:hAnsi="Candara" w:cs="Candara"/>
          <w:color w:val="4F81BD"/>
          <w:sz w:val="24"/>
          <w:szCs w:val="24"/>
          <w:lang w:val="da-DK"/>
        </w:rPr>
      </w:pPr>
      <w:r w:rsidRPr="00D96B67">
        <w:rPr>
          <w:rFonts w:ascii="Candara" w:eastAsia="Candara" w:hAnsi="Candara" w:cs="Candara"/>
          <w:b/>
          <w:sz w:val="24"/>
          <w:szCs w:val="24"/>
          <w:lang w:val="da-DK"/>
        </w:rPr>
        <w:lastRenderedPageBreak/>
        <w:t>Metode Penelitian</w:t>
      </w:r>
    </w:p>
    <w:p w14:paraId="52CCB433" w14:textId="045EDFDB" w:rsidR="002F0A3A" w:rsidRPr="002F0A3A" w:rsidRDefault="002F0A3A" w:rsidP="002F0A3A">
      <w:pPr>
        <w:jc w:val="both"/>
        <w:rPr>
          <w:rFonts w:ascii="Candara" w:eastAsia="Candara" w:hAnsi="Candara" w:cs="Candara"/>
          <w:sz w:val="24"/>
          <w:szCs w:val="24"/>
          <w:lang w:val="ms"/>
        </w:rPr>
      </w:pPr>
      <w:r w:rsidRPr="002F0A3A">
        <w:rPr>
          <w:rFonts w:ascii="Candara" w:eastAsia="Candara" w:hAnsi="Candara" w:cs="Candara"/>
          <w:sz w:val="24"/>
          <w:szCs w:val="24"/>
          <w:lang w:val="ms"/>
        </w:rPr>
        <w:t>Penelitian ini menggunakan pendekatan kualitatif dengan jenis studi kepustakaan (library research). Pendekatan kualitatif dipilih karena penelitian ini berfokus pada analisis mendalam terhadap teks-teks dan pemikiran tokoh, bukan pada pengumpulan data numerik atau statistik. Penelitian kualitatif memungkinkan peneliti untuk mengeksplorasi makna, memahami konteks, serta menafsirkan konsep-konsep dalam ilmu nahwu secara lebih kritis dan reflektif, terutama dalam menggali kontribusi dan pembaruan pemikiran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w:t>
      </w:r>
    </w:p>
    <w:p w14:paraId="2F41BC34" w14:textId="46BE9A77" w:rsidR="002F0A3A" w:rsidRPr="002F0A3A" w:rsidRDefault="002F0A3A" w:rsidP="002F0A3A">
      <w:pPr>
        <w:jc w:val="both"/>
        <w:rPr>
          <w:rFonts w:ascii="Candara" w:eastAsia="Candara" w:hAnsi="Candara" w:cs="Candara"/>
          <w:sz w:val="24"/>
          <w:szCs w:val="24"/>
          <w:lang w:val="ms"/>
        </w:rPr>
      </w:pPr>
      <w:r w:rsidRPr="002F0A3A">
        <w:rPr>
          <w:rFonts w:ascii="Candara" w:eastAsia="Candara" w:hAnsi="Candara" w:cs="Candara"/>
          <w:sz w:val="24"/>
          <w:szCs w:val="24"/>
          <w:lang w:val="ms"/>
        </w:rPr>
        <w:t>Sumber utama dalam penelitian ini adalah karya-karya otoritatif yang membahas pemikiran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khususnya kitab I</w:t>
      </w:r>
      <w:r w:rsidRPr="002F0A3A">
        <w:rPr>
          <w:rFonts w:ascii="Calibri" w:eastAsia="Candara" w:hAnsi="Calibri" w:cs="Calibri"/>
          <w:sz w:val="24"/>
          <w:szCs w:val="24"/>
          <w:lang w:val="ms"/>
        </w:rPr>
        <w:t>ḥ</w:t>
      </w:r>
      <w:r w:rsidRPr="002F0A3A">
        <w:rPr>
          <w:rFonts w:ascii="Candara" w:eastAsia="Candara" w:hAnsi="Candara" w:cs="Candara"/>
          <w:sz w:val="24"/>
          <w:szCs w:val="24"/>
          <w:lang w:val="ms"/>
        </w:rPr>
        <w:t>yā’ an-Na</w:t>
      </w:r>
      <w:r w:rsidRPr="002F0A3A">
        <w:rPr>
          <w:rFonts w:ascii="Calibri" w:eastAsia="Candara" w:hAnsi="Calibri" w:cs="Calibri"/>
          <w:sz w:val="24"/>
          <w:szCs w:val="24"/>
          <w:lang w:val="ms"/>
        </w:rPr>
        <w:t>ḥ</w:t>
      </w:r>
      <w:r w:rsidRPr="002F0A3A">
        <w:rPr>
          <w:rFonts w:ascii="Candara" w:eastAsia="Candara" w:hAnsi="Candara" w:cs="Candara"/>
          <w:sz w:val="24"/>
          <w:szCs w:val="24"/>
          <w:lang w:val="ms"/>
        </w:rPr>
        <w:t>wi, serta karya klasik Imam Sībawaih yaitu Al-Kitāb. Selain itu, penulis juga merujuk pada sejumlah buku, jurnal ilmiah, artikel, dan karya ilmiah lainnya yang relevan dengan topik pembaruan ilmu nahwu dan analisis epistemologis. Seluruh bahan pustaka dianalisis secara sistematis untuk memperoleh pemahaman mendalam mengenai latar belakang, argumen, dan implikasi pemikiran masing-masing tokoh.</w:t>
      </w:r>
    </w:p>
    <w:p w14:paraId="07DDD7A2" w14:textId="77777777" w:rsidR="002F0A3A" w:rsidRPr="002F0A3A" w:rsidRDefault="002F0A3A" w:rsidP="002F0A3A">
      <w:pPr>
        <w:jc w:val="both"/>
        <w:rPr>
          <w:rFonts w:ascii="Candara" w:eastAsia="Candara" w:hAnsi="Candara" w:cs="Candara"/>
          <w:sz w:val="24"/>
          <w:szCs w:val="24"/>
          <w:lang w:val="ms"/>
        </w:rPr>
      </w:pPr>
      <w:r w:rsidRPr="002F0A3A">
        <w:rPr>
          <w:rFonts w:ascii="Candara" w:eastAsia="Candara" w:hAnsi="Candara" w:cs="Candara"/>
          <w:sz w:val="24"/>
          <w:szCs w:val="24"/>
          <w:lang w:val="ms"/>
        </w:rPr>
        <w:t>Prosedur analisis data dilakukan melalui pendekatan epistemologis-komparatif, yaitu membandingkan cara pandang, dasar keilmuan (u</w:t>
      </w:r>
      <w:r w:rsidRPr="002F0A3A">
        <w:rPr>
          <w:rFonts w:ascii="Calibri" w:eastAsia="Candara" w:hAnsi="Calibri" w:cs="Calibri"/>
          <w:sz w:val="24"/>
          <w:szCs w:val="24"/>
          <w:lang w:val="ms"/>
        </w:rPr>
        <w:t>ṣ</w:t>
      </w:r>
      <w:r w:rsidRPr="002F0A3A">
        <w:rPr>
          <w:rFonts w:ascii="Candara" w:eastAsia="Candara" w:hAnsi="Candara" w:cs="Candara"/>
          <w:sz w:val="24"/>
          <w:szCs w:val="24"/>
          <w:lang w:val="ms"/>
        </w:rPr>
        <w:t>ūl an-na</w:t>
      </w:r>
      <w:r w:rsidRPr="002F0A3A">
        <w:rPr>
          <w:rFonts w:ascii="Calibri" w:eastAsia="Candara" w:hAnsi="Calibri" w:cs="Calibri"/>
          <w:sz w:val="24"/>
          <w:szCs w:val="24"/>
          <w:lang w:val="ms"/>
        </w:rPr>
        <w:t>ḥ</w:t>
      </w:r>
      <w:r w:rsidRPr="002F0A3A">
        <w:rPr>
          <w:rFonts w:ascii="Candara" w:eastAsia="Candara" w:hAnsi="Candara" w:cs="Candara"/>
          <w:sz w:val="24"/>
          <w:szCs w:val="24"/>
          <w:lang w:val="ms"/>
        </w:rPr>
        <w:t>w), dan metode berpikir antara tokoh klasik dan modern. Penulis menganalisis struktur pemikiran, landasan teori, serta kritik yang diajukan oleh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terhadap bangunan nahwu tradisional, khususnya yang diwariskan oleh Imam Sībawaih. Pendekatan epistemologi digunakan untuk mengkaji bagaimana pengetahuan nahwu dibangun, dipertahankan, dan direkonstruksi dalam konteks zaman yang berbeda.</w:t>
      </w:r>
    </w:p>
    <w:p w14:paraId="64A612ED" w14:textId="77777777" w:rsidR="002F0A3A" w:rsidRPr="002F0A3A" w:rsidRDefault="002F0A3A" w:rsidP="002F0A3A">
      <w:pPr>
        <w:jc w:val="both"/>
        <w:rPr>
          <w:rFonts w:ascii="Candara" w:eastAsia="Candara" w:hAnsi="Candara" w:cs="Candara"/>
          <w:sz w:val="24"/>
          <w:szCs w:val="24"/>
          <w:lang w:val="id-ID"/>
        </w:rPr>
      </w:pPr>
      <w:r w:rsidRPr="002F0A3A">
        <w:rPr>
          <w:rFonts w:ascii="Candara" w:eastAsia="Candara" w:hAnsi="Candara" w:cs="Candara"/>
          <w:sz w:val="24"/>
          <w:szCs w:val="24"/>
          <w:lang w:val="ms"/>
        </w:rPr>
        <w:t>Dengan metode ini, penelitian diharapkan dapat memberikan pemahaman yang utuh tentang dinamika perkembangan ilmu nahwu dari masa klasik hingga modern. Penelitian ini tidak hanya bertujuan untuk mengungkap perbedaan sudut pandang, tetapi juga untuk menunjukkan relevansi kritik dan pembaruan yang dilakukan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dalam upaya menyederhanakan ilmu nahwu dan menyesuaikannya dengan kebutuhan pendidikan bahasa Arab di era kontemporer. Pendekatan kualitatif ini menjadikan proses analisis bersifat reflektif, mendalam, dan menyentuh dimensi filosofis dari keilmuan nahwu.</w:t>
      </w:r>
    </w:p>
    <w:p w14:paraId="551E0AF0" w14:textId="52310D53" w:rsidR="0085200C" w:rsidRPr="002F0A3A" w:rsidRDefault="0085200C" w:rsidP="00B94D36">
      <w:pPr>
        <w:jc w:val="both"/>
        <w:rPr>
          <w:rFonts w:ascii="Candara" w:eastAsia="Candara" w:hAnsi="Candara" w:cs="Candara"/>
          <w:sz w:val="24"/>
          <w:szCs w:val="24"/>
          <w:lang w:val="id-ID"/>
        </w:rPr>
      </w:pPr>
    </w:p>
    <w:p w14:paraId="7C9670A0" w14:textId="77777777" w:rsidR="0085200C" w:rsidRPr="002F0A3A" w:rsidRDefault="0085200C" w:rsidP="0085200C">
      <w:pPr>
        <w:jc w:val="both"/>
        <w:rPr>
          <w:rFonts w:ascii="Candara" w:eastAsia="Candara" w:hAnsi="Candara" w:cs="Candara"/>
          <w:sz w:val="24"/>
          <w:szCs w:val="24"/>
          <w:lang w:val="ms"/>
        </w:rPr>
      </w:pPr>
    </w:p>
    <w:p w14:paraId="326BA95B" w14:textId="42780BD5" w:rsidR="0085200C" w:rsidRDefault="0085200C" w:rsidP="0085200C">
      <w:pPr>
        <w:jc w:val="both"/>
        <w:rPr>
          <w:rFonts w:ascii="Candara" w:eastAsia="Candara" w:hAnsi="Candara" w:cs="Candara"/>
          <w:color w:val="4F81BD"/>
          <w:sz w:val="24"/>
          <w:szCs w:val="24"/>
        </w:rPr>
      </w:pPr>
      <w:r>
        <w:rPr>
          <w:rFonts w:ascii="Candara" w:eastAsia="Candara" w:hAnsi="Candara" w:cs="Candara"/>
          <w:b/>
          <w:sz w:val="24"/>
          <w:szCs w:val="24"/>
        </w:rPr>
        <w:t xml:space="preserve">Hasil dan Pembahasan </w:t>
      </w:r>
    </w:p>
    <w:p w14:paraId="2A1CC38E" w14:textId="0E0C0828" w:rsidR="002F0A3A" w:rsidRPr="002F0A3A" w:rsidRDefault="002F0A3A" w:rsidP="002F0A3A">
      <w:pPr>
        <w:rPr>
          <w:rFonts w:ascii="Candara" w:eastAsia="Candara" w:hAnsi="Candara" w:cs="Candara"/>
          <w:b/>
          <w:bCs/>
          <w:lang w:val="ms"/>
        </w:rPr>
      </w:pPr>
      <w:r w:rsidRPr="002F0A3A">
        <w:rPr>
          <w:rFonts w:ascii="Candara" w:eastAsia="Candara" w:hAnsi="Candara" w:cs="Candara"/>
          <w:b/>
          <w:bCs/>
          <w:lang w:val="ms"/>
        </w:rPr>
        <w:t>Biografi Singkat dan Latar Intelektual Ibrāhīm Mu</w:t>
      </w:r>
      <w:r w:rsidRPr="002F0A3A">
        <w:rPr>
          <w:rFonts w:ascii="Calibri" w:eastAsia="Candara" w:hAnsi="Calibri" w:cs="Calibri"/>
          <w:b/>
          <w:bCs/>
          <w:lang w:val="ms"/>
        </w:rPr>
        <w:t>ṣṭ</w:t>
      </w:r>
      <w:r w:rsidRPr="002F0A3A">
        <w:rPr>
          <w:rFonts w:ascii="Candara" w:eastAsia="Candara" w:hAnsi="Candara" w:cs="Candara"/>
          <w:b/>
          <w:bCs/>
          <w:lang w:val="ms"/>
        </w:rPr>
        <w:t>afā</w:t>
      </w:r>
    </w:p>
    <w:p w14:paraId="2C86FAD3"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merupakan salah satu tokoh penting dalam dunia kebahasaan Arab modern, khususnya dalam bidang ilmu nahwu. Ia dikenal sebagai pemikir pembaru yang memiliki keberanian intelektual dalam mendekonstruksi dan mereformulasi kaidah-kaidah nahwu klasik yang dinilai terlalu kompleks dan tidak relevan dengan kebutuhan zaman. Ia lahir di Kairo, Mesir, pada tahun 1904 M (1305 H) dan wafat pada tahun 1962 M (1383 H). Mesir sebagai tempat kelahiran dan aktivitas keilmuannya memiliki pengaruh besar dalam membentuk cara pandangnya yang modern dan progresif, mengingat pada masa itu Mesir merupakan pusat intelektual dunia Islam yang sangat dinamis.</w:t>
      </w:r>
    </w:p>
    <w:p w14:paraId="51513B21"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Sejak masa mudanya,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 xml:space="preserve">afā menunjukkan ketertarikan yang kuat terhadap kajian bahasa Arab. Ia menempuh pendidikan formalnya di Universitas Kairo, yang kala itu dikenal sebagai pusat pengembangan ilmu pengetahuan dan bahasa. Di kampus tersebut, ia tidak hanya menguasai ilmu nahwu secara klasik, tetapi juga mulai mengenal pendekatan linguistik modern yang berkembang pesat di Barat, seperti pemikiran Ferdinand de Saussure, Noam Chomsky, dan tokoh-tokoh linguistik struktural lainnya. Perpaduan antara warisan klasik dan wawasan modern inilah yang menjadi dasar terbentuknya pemikiran kritis dalam dirinya terhadap ilmu nahwu </w:t>
      </w:r>
      <w:r w:rsidRPr="002F0A3A">
        <w:rPr>
          <w:rFonts w:ascii="Candara" w:eastAsia="Candara" w:hAnsi="Candara" w:cs="Candara"/>
          <w:sz w:val="24"/>
          <w:szCs w:val="24"/>
          <w:lang w:val="ms"/>
        </w:rPr>
        <w:lastRenderedPageBreak/>
        <w:t>tradisional.</w:t>
      </w:r>
    </w:p>
    <w:p w14:paraId="34564FF5"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Karier akademik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 xml:space="preserve">afā cukup gemilang. Ia mengajar di beberapa lembaga pendidikan tinggi, termasuk menjadi dosen tetap di Fakultas Adab, Universitas Kairo. Di sana ia kemudian diangkat sebagai ketua jurusan Bahasa Arab, bahkan menjabat sebagai wakil dekan, hingga akhirnya dipercaya menjadi dekan fakultas. Jabatan-jabatan tersebut menunjukkan pengakuan besar dari kalangan akademisi terhadap kapasitas keilmuan dan integritas intelektualnya. </w:t>
      </w:r>
      <w:r w:rsidRPr="002F0A3A">
        <w:rPr>
          <w:rFonts w:ascii="Candara" w:eastAsia="Candara" w:hAnsi="Candara" w:cs="Candara"/>
          <w:sz w:val="24"/>
          <w:szCs w:val="24"/>
          <w:lang w:val="ms"/>
        </w:rPr>
        <w:fldChar w:fldCharType="begin"/>
      </w:r>
      <w:r w:rsidRPr="002F0A3A">
        <w:rPr>
          <w:rFonts w:ascii="Candara" w:eastAsia="Candara" w:hAnsi="Candara" w:cs="Candara"/>
          <w:sz w:val="24"/>
          <w:szCs w:val="24"/>
          <w:lang w:val="ms"/>
        </w:rPr>
        <w:instrText xml:space="preserve"> ADDIN ZOTERO_ITEM CSL_CITATION {"citationID":"DQOMdZpr","properties":{"formattedCitation":"(Permana, 2018)","plainCitation":"(Permana, 2018)","noteIndex":0},"citationItems":[{"id":1939,"uris":["http://zotero.org/users/16580637/items/VAXMICHR"],"itemData":{"id":1939,"type":"article-journal","abstract":"Kemajuan pendidikan Islam dan pengajaran Bahasa Arab di masa silam adalah bagian sejarah penting dalam dunia Islam. Hal tersebut berguna sebagai refleksi memperbaiki kualitas pendidikan di masa mendatang. Semakin maju zaman maka semakin kompleks juga masalah pendidikan Islam dan Pengajaran bahasa Arab. Artikel ini bertujuan untuk menelaah kembali sejarah pendidikan Islam dan Pengajaran bahasa Arab di zaman dinasti Umayah dipandang dari tiga aspek filsafat yaitu ontologi (isi materi), epestimologi (pendidikan sebagai sistem) dan aksiologi (tujuan pendidikan). Kajian ini berkesimpulan bahwa Pendidikan Islam pada masa dinasti Umayyah telah mengalami perkembangan dari masa sebelumnya yaitu masa khulafa al-Rasyidin. Perkembaangan itu terjadi pada berbagai aspek pendidikan diantaranya adalah aspek kurikulum, materi, metodologi dan aspek kelembagaan yang semakin bertambah ragam dan kuantitasnya. Pengajaran bahasa Arab pada masa itu berorientasi pada pendalaman agama Islam sebagai motivasi beragama dan pendalaman syair-syair Arab melalui disiplin ilmu Nahwu. Hasil dari telaahan ini mengisyaratkan adanya dorongan terhadap umat muslim untuk menegaskan kembali sistem pendidikan Islam dan bahasa Arab kepada perkembangan kuliatas melalui kerjasama antar masyarakat muslim dan Negara.","container-title":"Al Qalam: Jurnal Ilmiah Keagamaan dan Kemasyarakatan","DOI":"10.35931/aq.v0i0.74","ISSN":"2621-0681, 1907-4174","journalAbbreviation":"AQ","language":"id","page":"47","source":"DOI.org (Crossref)","title":"PENDIDIKAN ISLAM DAN PENGAJARAN BAHASA ARAB PADA MASA DINASTI UMAYYAH","author":[{"family":"Permana","given":"Farid"}],"issued":{"date-parts":[["2018",12,14]]}}}],"schema":"https://github.com/citation-style-language/schema/raw/master/csl-citation.json"} </w:instrText>
      </w:r>
      <w:r w:rsidRPr="002F0A3A">
        <w:rPr>
          <w:rFonts w:ascii="Candara" w:eastAsia="Candara" w:hAnsi="Candara" w:cs="Candara"/>
          <w:sz w:val="24"/>
          <w:szCs w:val="24"/>
          <w:lang w:val="ms"/>
        </w:rPr>
        <w:fldChar w:fldCharType="separate"/>
      </w:r>
      <w:r w:rsidRPr="002F0A3A">
        <w:rPr>
          <w:rFonts w:ascii="Candara" w:eastAsia="Candara" w:hAnsi="Candara" w:cs="Candara"/>
          <w:sz w:val="24"/>
          <w:szCs w:val="24"/>
          <w:lang w:val="ms"/>
        </w:rPr>
        <w:t>(Permana, 2018)</w:t>
      </w:r>
      <w:r w:rsidRPr="002F0A3A">
        <w:rPr>
          <w:rFonts w:ascii="Candara" w:eastAsia="Candara" w:hAnsi="Candara" w:cs="Candara"/>
          <w:sz w:val="24"/>
          <w:szCs w:val="24"/>
          <w:lang w:val="da-DK"/>
        </w:rPr>
        <w:fldChar w:fldCharType="end"/>
      </w:r>
      <w:r w:rsidRPr="002F0A3A">
        <w:rPr>
          <w:rFonts w:ascii="Candara" w:eastAsia="Candara" w:hAnsi="Candara" w:cs="Candara"/>
          <w:sz w:val="24"/>
          <w:szCs w:val="24"/>
          <w:lang w:val="ms"/>
        </w:rPr>
        <w:t xml:space="preserve"> Di sela-sela aktivitas mengajarnya, ia juga aktif menulis dan menghasilkan karya-karya ilmiah yang kritis dan inovatif.</w:t>
      </w:r>
    </w:p>
    <w:p w14:paraId="6E464437"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Salah satu karya monumentalnya yang sangat berpengaruh dalam dunia nahwu modern adalah kitab I</w:t>
      </w:r>
      <w:r w:rsidRPr="002F0A3A">
        <w:rPr>
          <w:rFonts w:ascii="Calibri" w:eastAsia="Candara" w:hAnsi="Calibri" w:cs="Calibri"/>
          <w:sz w:val="24"/>
          <w:szCs w:val="24"/>
          <w:lang w:val="ms"/>
        </w:rPr>
        <w:t>ḥ</w:t>
      </w:r>
      <w:r w:rsidRPr="002F0A3A">
        <w:rPr>
          <w:rFonts w:ascii="Candara" w:eastAsia="Candara" w:hAnsi="Candara" w:cs="Candara"/>
          <w:sz w:val="24"/>
          <w:szCs w:val="24"/>
          <w:lang w:val="ms"/>
        </w:rPr>
        <w:t>yā’ an-Na</w:t>
      </w:r>
      <w:r w:rsidRPr="002F0A3A">
        <w:rPr>
          <w:rFonts w:ascii="Calibri" w:eastAsia="Candara" w:hAnsi="Calibri" w:cs="Calibri"/>
          <w:sz w:val="24"/>
          <w:szCs w:val="24"/>
          <w:lang w:val="ms"/>
        </w:rPr>
        <w:t>ḥ</w:t>
      </w:r>
      <w:r w:rsidRPr="002F0A3A">
        <w:rPr>
          <w:rFonts w:ascii="Candara" w:eastAsia="Candara" w:hAnsi="Candara" w:cs="Candara"/>
          <w:sz w:val="24"/>
          <w:szCs w:val="24"/>
          <w:lang w:val="ms"/>
        </w:rPr>
        <w:t>wi (Menghidupkan Ilmu Nahwu). Karya ini pertama kali disusun pada tahun 1936 M dan diterbitkan oleh Lajnah at-Ta’līf wa at-Tarjamah wa an-Nasyr Kairo pada tahun 1937 M. Dalam kitab tersebut,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mengajukan kritik terhadap struktur dan sistematika ilmu nahwu klasik, sekaligus menawarkan penyusunan ulang materi nahwu yang dianggap lebih sederhana, logis, dan relevan dengan pembelajaran bahasa Arab modern. Ia menyusun kitab tersebut setelah melalui proses perenungan dan pengkajian selama kurang lebih tujuh tahun.</w:t>
      </w:r>
    </w:p>
    <w:p w14:paraId="7E15BFB3" w14:textId="7EA195CF"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Sebagai tokoh modernis dalam bidang nahwu,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juga dikenal sebagai penerus semangat kritik Ibnu Ma</w:t>
      </w:r>
      <w:r w:rsidRPr="002F0A3A">
        <w:rPr>
          <w:rFonts w:ascii="Calibri" w:eastAsia="Candara" w:hAnsi="Calibri" w:cs="Calibri"/>
          <w:sz w:val="24"/>
          <w:szCs w:val="24"/>
          <w:lang w:val="ms"/>
        </w:rPr>
        <w:t>ḍ</w:t>
      </w:r>
      <w:r w:rsidRPr="002F0A3A">
        <w:rPr>
          <w:rFonts w:ascii="Candara" w:eastAsia="Candara" w:hAnsi="Candara" w:cs="Candara"/>
          <w:sz w:val="24"/>
          <w:szCs w:val="24"/>
          <w:lang w:val="ms"/>
        </w:rPr>
        <w:t>ā’, seorang pemikir dari era sebelumnya yang juga menentang kompleksitas nahwu klasik. Pemikiran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 xml:space="preserve">afā tidak hanya bersifat destruktif terhadap tradisi, tetapi juga konstruktif dalam membangun model keilmuan yang lebih fungsional. Ia mengadopsi pendekatan empiris, aplikatif, dan komunikatif dalam memahami dan mengajarkan bahasa Arab, sehingga pemikirannya lebih dekat dengan dunia pendidikan kontemporer yang menekankan pada kemudahan pemahaman dan efektivitas pembelajaran. </w:t>
      </w:r>
      <w:r w:rsidRPr="002F0A3A">
        <w:rPr>
          <w:rFonts w:ascii="Candara" w:eastAsia="Candara" w:hAnsi="Candara" w:cs="Candara"/>
          <w:sz w:val="24"/>
          <w:szCs w:val="24"/>
          <w:lang w:val="ms"/>
        </w:rPr>
        <w:fldChar w:fldCharType="begin"/>
      </w:r>
      <w:r w:rsidRPr="002F0A3A">
        <w:rPr>
          <w:rFonts w:ascii="Candara" w:eastAsia="Candara" w:hAnsi="Candara" w:cs="Candara"/>
          <w:sz w:val="24"/>
          <w:szCs w:val="24"/>
          <w:lang w:val="ms"/>
        </w:rPr>
        <w:instrText xml:space="preserve"> ADDIN ZOTERO_ITEM CSL_CITATION {"citationID":"Sp80UBUf","properties":{"formattedCitation":"(Ifadah, 2023)","plainCitation":"(Ifadah, 2023)","noteIndex":0},"citationItems":[{"id":1942,"uris":["http://zotero.org/users/16580637/items/HGT9U77V"],"itemData":{"id":1942,"type":"article-journal","abstract":"This study aims to describe and find out from the results of the analysis regarding (1) the verses containing the insya’ thalabi word in sura Al-Anfal, (2) the forms of insya’ thalabi in surah al-Anfal, (3) the variations in meaning (between the original meaning and what comes out of the original meaning) kalam insya’ thalabi in surah Al-Anfal. This research is a type of library research with a descriptive analysis method. The results of this study indicate that based on the form of insya' thalabi in Surah Al-Anfal, it consists of 35 amr (orders) in 23 verses, nahy (prohibition) 7, istifham (question) 1, tamanni (hope that is impossible to happen) 11 in 10 verses, nida' (call) 9. Then in terms of variations in meaning, some original meanings and meanings come out of the original meaning including Irsyad (directing), Ikram (glorifying), Tahdid (threatening), Ta'jiz (weakening), I'tibar (as a lesson), Ihanah (humiliation), Ibahah (permissible), Taubikh (reproach/reprimand), Inkari (rejection), Tarajji (hope that may be achieved), Ighra' (advice, encouragement, or motivation), Zajr ( prevent, ban, or yell), Ikhtishas (specialization).","container-title":"Tamaddun: Jurnal Kebudayaan dan Sastra Islam","DOI":"10.19109/tamaddun.v22i2.15273","ISSN":"2622-531X, 1412-9027","issue":"2","journalAbbreviation":"Tamaddun","language":"id","license":"http://creativecommons.org/licenses/by-sa/4.0","page":"145-157","source":"DOI.org (Crossref)","title":"Analisis Bentuk Variasi Makna Kalam Insyā' </w:instrText>
      </w:r>
      <w:r w:rsidRPr="002F0A3A">
        <w:rPr>
          <w:rFonts w:ascii="Calibri" w:eastAsia="Candara" w:hAnsi="Calibri" w:cs="Calibri"/>
          <w:sz w:val="24"/>
          <w:szCs w:val="24"/>
          <w:lang w:val="ms"/>
        </w:rPr>
        <w:instrText>Ṭ</w:instrText>
      </w:r>
      <w:r w:rsidRPr="002F0A3A">
        <w:rPr>
          <w:rFonts w:ascii="Candara" w:eastAsia="Candara" w:hAnsi="Candara" w:cs="Candara"/>
          <w:sz w:val="24"/>
          <w:szCs w:val="24"/>
          <w:lang w:val="ms"/>
        </w:rPr>
        <w:instrText xml:space="preserve">alabī dalam Surat al-Anfal","volume":"22","author":[{"family":"Ifadah","given":"Utfi Fahisfatun"}],"issued":{"date-parts":[["2023",1,17]]}}}],"schema":"https://github.com/citation-style-language/schema/raw/master/csl-citation.json"} </w:instrText>
      </w:r>
      <w:r w:rsidRPr="002F0A3A">
        <w:rPr>
          <w:rFonts w:ascii="Candara" w:eastAsia="Candara" w:hAnsi="Candara" w:cs="Candara"/>
          <w:sz w:val="24"/>
          <w:szCs w:val="24"/>
          <w:lang w:val="ms"/>
        </w:rPr>
        <w:fldChar w:fldCharType="separate"/>
      </w:r>
      <w:r w:rsidRPr="002F0A3A">
        <w:rPr>
          <w:rFonts w:ascii="Candara" w:eastAsia="Candara" w:hAnsi="Candara" w:cs="Candara"/>
          <w:sz w:val="24"/>
          <w:szCs w:val="24"/>
          <w:lang w:val="ms"/>
        </w:rPr>
        <w:t>(Ifadah, 2023)</w:t>
      </w:r>
      <w:r w:rsidRPr="002F0A3A">
        <w:rPr>
          <w:rFonts w:ascii="Candara" w:eastAsia="Candara" w:hAnsi="Candara" w:cs="Candara"/>
          <w:sz w:val="24"/>
          <w:szCs w:val="24"/>
          <w:lang w:val="da-DK"/>
        </w:rPr>
        <w:fldChar w:fldCharType="end"/>
      </w:r>
    </w:p>
    <w:p w14:paraId="236838C7"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Dengan latar belakang sosial, pendidikan, dan keilmuan yang demikian,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dapat dikatakan sebagai figur penting dalam pergeseran paradigma ilmu nahwu dari era klasik menuju era modern. Keberaniannya dalam menggugat otoritas pemikiran tradisional sekaligus menyusun sistem baru menjadikan namanya dikenal luas tidak hanya di Mesir, tetapi juga di kalangan akademisi bahasa Arab di dunia Islam. Melalui karya dan pemikirannya, ia berkontribusi besar dalam menyegarkan kembali kajian nahwu agar tetap relevan dan aplikatif sepanjang zaman.</w:t>
      </w:r>
    </w:p>
    <w:p w14:paraId="705702C8" w14:textId="77777777" w:rsidR="002F0A3A" w:rsidRPr="002F0A3A" w:rsidRDefault="002F0A3A" w:rsidP="002F0A3A">
      <w:pPr>
        <w:jc w:val="both"/>
        <w:rPr>
          <w:rFonts w:ascii="Candara" w:eastAsia="Candara" w:hAnsi="Candara" w:cs="Candara"/>
          <w:b/>
          <w:bCs/>
          <w:sz w:val="24"/>
          <w:szCs w:val="24"/>
          <w:lang w:val="ms"/>
        </w:rPr>
      </w:pPr>
      <w:r w:rsidRPr="002F0A3A">
        <w:rPr>
          <w:rFonts w:ascii="Candara" w:eastAsia="Candara" w:hAnsi="Candara" w:cs="Candara"/>
          <w:b/>
          <w:bCs/>
          <w:sz w:val="24"/>
          <w:szCs w:val="24"/>
          <w:lang w:val="ms"/>
        </w:rPr>
        <w:t>Konsep Epistemologi Nahwu Klasik: Warisan Imam Sībawaih</w:t>
      </w:r>
    </w:p>
    <w:p w14:paraId="5512A05A"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Imam Sībawaih merupakan sosok sentral dalam pembentukan dan pengembangan ilmu nahwu pada masa klasik. Nama aslinya adalah ‘Amr bin ‘Utsmān bin Qanbar Abū Bisyr, seorang ulama yang berasal dari Persia dan hidup pada abad ke-2 Hijriah. Ia dikenal sebagai pelopor utama sistematisasi ilmu nahwu melalui karya fenomenalnya yang berjudul Al-Kitāb. Dalam kitab tersebut, Imam Sībawaih merumuskan teori-teori dasar tentang struktur bahasa Arab secara rinci dan mendalam, dengan pendekatan filosofis dan logis yang sangat kuat. Oleh sebab itu, sebagian besar ulama menganggap bahwa Al-Kitāb adalah "al-Qur’annya ilmu nahwu."</w:t>
      </w:r>
    </w:p>
    <w:p w14:paraId="469E738A"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Dalam kerangka epistemologis, Imam Sībawaih membangun ilmu nahwu berdasarkan prinsip-prinsip keilmuan yang bersumber pada riwayat (as-samā</w:t>
      </w:r>
      <w:r w:rsidRPr="002F0A3A">
        <w:rPr>
          <w:rFonts w:ascii="Arial" w:eastAsia="Candara" w:hAnsi="Arial" w:cs="Arial"/>
          <w:sz w:val="24"/>
          <w:szCs w:val="24"/>
          <w:lang w:val="ms"/>
        </w:rPr>
        <w:t>ʻ</w:t>
      </w:r>
      <w:r w:rsidRPr="002F0A3A">
        <w:rPr>
          <w:rFonts w:ascii="Candara" w:eastAsia="Candara" w:hAnsi="Candara" w:cs="Candara"/>
          <w:sz w:val="24"/>
          <w:szCs w:val="24"/>
          <w:lang w:val="ms"/>
        </w:rPr>
        <w:t>ī), analogi (al-qiyās), kesepakatan ulama (al-ijmā</w:t>
      </w:r>
      <w:r w:rsidRPr="002F0A3A">
        <w:rPr>
          <w:rFonts w:ascii="Arial" w:eastAsia="Candara" w:hAnsi="Arial" w:cs="Arial"/>
          <w:sz w:val="24"/>
          <w:szCs w:val="24"/>
          <w:lang w:val="ms"/>
        </w:rPr>
        <w:t>ʻ</w:t>
      </w:r>
      <w:r w:rsidRPr="002F0A3A">
        <w:rPr>
          <w:rFonts w:ascii="Candara" w:eastAsia="Candara" w:hAnsi="Candara" w:cs="Candara"/>
          <w:sz w:val="24"/>
          <w:szCs w:val="24"/>
          <w:lang w:val="ms"/>
        </w:rPr>
        <w:t>), dan ‘illah (ta’līl). Ia juga menggunakan metode ta’wīl (interpretasi makna), isti</w:t>
      </w:r>
      <w:r w:rsidRPr="002F0A3A">
        <w:rPr>
          <w:rFonts w:ascii="Calibri" w:eastAsia="Candara" w:hAnsi="Calibri" w:cs="Calibri"/>
          <w:sz w:val="24"/>
          <w:szCs w:val="24"/>
          <w:lang w:val="ms"/>
        </w:rPr>
        <w:t>ḥ</w:t>
      </w:r>
      <w:r w:rsidRPr="002F0A3A">
        <w:rPr>
          <w:rFonts w:ascii="Candara" w:eastAsia="Candara" w:hAnsi="Candara" w:cs="Candara"/>
          <w:sz w:val="24"/>
          <w:szCs w:val="24"/>
          <w:lang w:val="ms"/>
        </w:rPr>
        <w:t>sān (penilaian baik), dan isti</w:t>
      </w:r>
      <w:r w:rsidRPr="002F0A3A">
        <w:rPr>
          <w:rFonts w:ascii="Calibri" w:eastAsia="Candara" w:hAnsi="Calibri" w:cs="Calibri"/>
          <w:sz w:val="24"/>
          <w:szCs w:val="24"/>
          <w:lang w:val="ms"/>
        </w:rPr>
        <w:t>ṣḥ</w:t>
      </w:r>
      <w:r w:rsidRPr="002F0A3A">
        <w:rPr>
          <w:rFonts w:ascii="Candara" w:eastAsia="Candara" w:hAnsi="Candara" w:cs="Candara"/>
          <w:sz w:val="24"/>
          <w:szCs w:val="24"/>
          <w:lang w:val="ms"/>
        </w:rPr>
        <w:t xml:space="preserve">āb (kelangsungan hukum) sebagai pendekatan analitis dalam menetapkan kaidah bahasa. </w:t>
      </w:r>
      <w:r w:rsidRPr="002F0A3A">
        <w:rPr>
          <w:rFonts w:ascii="Candara" w:eastAsia="Candara" w:hAnsi="Candara" w:cs="Candara"/>
          <w:sz w:val="24"/>
          <w:szCs w:val="24"/>
          <w:lang w:val="ms"/>
        </w:rPr>
        <w:fldChar w:fldCharType="begin"/>
      </w:r>
      <w:r w:rsidRPr="002F0A3A">
        <w:rPr>
          <w:rFonts w:ascii="Candara" w:eastAsia="Candara" w:hAnsi="Candara" w:cs="Candara"/>
          <w:sz w:val="24"/>
          <w:szCs w:val="24"/>
          <w:lang w:val="ms"/>
        </w:rPr>
        <w:instrText xml:space="preserve"> ADDIN ZOTERO_ITEM CSL_CITATION {"citationID":"33kJ0lR9","properties":{"formattedCitation":"(Holilulloh, 2020)","plainCitation":"(Holilulloh, 2020)","noteIndex":0},"citationItems":[{"id":1941,"uris":["http://zotero.org/users/16580637/items/KKWY2BNS"],"itemData":{"id":1941,"type":"article-journal","abstract":"This paper analyses the development of Arabic Syntax, starting from classical period up to modern one which is intuitively synthesis-pragmatic. The epistemology of classical and modern Arabic syntax is focused on the thoughts of Imam Sībawaih and Ibrāhīm Mu</w:instrText>
      </w:r>
      <w:r w:rsidRPr="002F0A3A">
        <w:rPr>
          <w:rFonts w:ascii="Calibri" w:eastAsia="Candara" w:hAnsi="Calibri" w:cs="Calibri"/>
          <w:sz w:val="24"/>
          <w:szCs w:val="24"/>
          <w:lang w:val="ms"/>
        </w:rPr>
        <w:instrText>ṣṭ</w:instrText>
      </w:r>
      <w:r w:rsidRPr="002F0A3A">
        <w:rPr>
          <w:rFonts w:ascii="Candara" w:eastAsia="Candara" w:hAnsi="Candara" w:cs="Candara"/>
          <w:sz w:val="24"/>
          <w:szCs w:val="24"/>
          <w:lang w:val="ms"/>
        </w:rPr>
        <w:instrText>afā to represent each A’jamand ‘Arab. This research uses the method of epistemology-comparative-history with procedure of intertext analysis. Method used by classical figures to compile Na</w:instrText>
      </w:r>
      <w:r w:rsidRPr="002F0A3A">
        <w:rPr>
          <w:rFonts w:ascii="Calibri" w:eastAsia="Candara" w:hAnsi="Calibri" w:cs="Calibri"/>
          <w:sz w:val="24"/>
          <w:szCs w:val="24"/>
          <w:lang w:val="ms"/>
        </w:rPr>
        <w:instrText>ḥ</w:instrText>
      </w:r>
      <w:r w:rsidRPr="002F0A3A">
        <w:rPr>
          <w:rFonts w:ascii="Candara" w:eastAsia="Candara" w:hAnsi="Candara" w:cs="Candara"/>
          <w:sz w:val="24"/>
          <w:szCs w:val="24"/>
          <w:lang w:val="ms"/>
        </w:rPr>
        <w:instrText>wu are samā</w:instrText>
      </w:r>
      <w:r w:rsidRPr="002F0A3A">
        <w:rPr>
          <w:rFonts w:ascii="Arial" w:eastAsia="Candara" w:hAnsi="Arial" w:cs="Arial"/>
          <w:sz w:val="24"/>
          <w:szCs w:val="24"/>
          <w:lang w:val="ms"/>
        </w:rPr>
        <w:instrText>ʻ</w:instrText>
      </w:r>
      <w:r w:rsidRPr="002F0A3A">
        <w:rPr>
          <w:rFonts w:ascii="Candara" w:eastAsia="Candara" w:hAnsi="Candara" w:cs="Candara"/>
          <w:sz w:val="24"/>
          <w:szCs w:val="24"/>
          <w:lang w:val="ms"/>
        </w:rPr>
        <w:instrText>ī,qiyāsī,ijmā’,ta</w:instrText>
      </w:r>
      <w:r w:rsidRPr="002F0A3A">
        <w:rPr>
          <w:rFonts w:ascii="Arial" w:eastAsia="Candara" w:hAnsi="Arial" w:cs="Arial"/>
          <w:sz w:val="24"/>
          <w:szCs w:val="24"/>
          <w:lang w:val="ms"/>
        </w:rPr>
        <w:instrText>ʻ</w:instrText>
      </w:r>
      <w:r w:rsidRPr="002F0A3A">
        <w:rPr>
          <w:rFonts w:ascii="Candara" w:eastAsia="Candara" w:hAnsi="Candara" w:cs="Candara"/>
          <w:sz w:val="24"/>
          <w:szCs w:val="24"/>
          <w:lang w:val="ms"/>
        </w:rPr>
        <w:instrText>līl,ta'wīl,isti</w:instrText>
      </w:r>
      <w:r w:rsidRPr="002F0A3A">
        <w:rPr>
          <w:rFonts w:ascii="Calibri" w:eastAsia="Candara" w:hAnsi="Calibri" w:cs="Calibri"/>
          <w:sz w:val="24"/>
          <w:szCs w:val="24"/>
          <w:lang w:val="ms"/>
        </w:rPr>
        <w:instrText>ḥ</w:instrText>
      </w:r>
      <w:r w:rsidRPr="002F0A3A">
        <w:rPr>
          <w:rFonts w:ascii="Candara" w:eastAsia="Candara" w:hAnsi="Candara" w:cs="Candara"/>
          <w:sz w:val="24"/>
          <w:szCs w:val="24"/>
          <w:lang w:val="ms"/>
        </w:rPr>
        <w:instrText>sānand isti</w:instrText>
      </w:r>
      <w:r w:rsidRPr="002F0A3A">
        <w:rPr>
          <w:rFonts w:ascii="Calibri" w:eastAsia="Candara" w:hAnsi="Calibri" w:cs="Calibri"/>
          <w:sz w:val="24"/>
          <w:szCs w:val="24"/>
          <w:lang w:val="ms"/>
        </w:rPr>
        <w:instrText>ṣḥ</w:instrText>
      </w:r>
      <w:r w:rsidRPr="002F0A3A">
        <w:rPr>
          <w:rFonts w:ascii="Candara" w:eastAsia="Candara" w:hAnsi="Candara" w:cs="Candara"/>
          <w:sz w:val="24"/>
          <w:szCs w:val="24"/>
          <w:lang w:val="ms"/>
        </w:rPr>
        <w:instrText>ābwith both philosophical and theological approaches. Meanwhile, methods used by modern figures in compiling Na</w:instrText>
      </w:r>
      <w:r w:rsidRPr="002F0A3A">
        <w:rPr>
          <w:rFonts w:ascii="Calibri" w:eastAsia="Candara" w:hAnsi="Calibri" w:cs="Calibri"/>
          <w:sz w:val="24"/>
          <w:szCs w:val="24"/>
          <w:lang w:val="ms"/>
        </w:rPr>
        <w:instrText>ḥ</w:instrText>
      </w:r>
      <w:r w:rsidRPr="002F0A3A">
        <w:rPr>
          <w:rFonts w:ascii="Candara" w:eastAsia="Candara" w:hAnsi="Candara" w:cs="Candara"/>
          <w:sz w:val="24"/>
          <w:szCs w:val="24"/>
          <w:lang w:val="ms"/>
        </w:rPr>
        <w:instrText>wu is tan</w:instrText>
      </w:r>
      <w:r w:rsidRPr="002F0A3A">
        <w:rPr>
          <w:rFonts w:ascii="Calibri" w:eastAsia="Candara" w:hAnsi="Calibri" w:cs="Calibri"/>
          <w:sz w:val="24"/>
          <w:szCs w:val="24"/>
          <w:lang w:val="ms"/>
        </w:rPr>
        <w:instrText>ẓ</w:instrText>
      </w:r>
      <w:r w:rsidRPr="002F0A3A">
        <w:rPr>
          <w:rFonts w:ascii="Candara" w:eastAsia="Candara" w:hAnsi="Candara" w:cs="Candara"/>
          <w:sz w:val="24"/>
          <w:szCs w:val="24"/>
          <w:lang w:val="ms"/>
        </w:rPr>
        <w:instrText>īriyyah and ta</w:instrText>
      </w:r>
      <w:r w:rsidRPr="002F0A3A">
        <w:rPr>
          <w:rFonts w:ascii="Calibri" w:eastAsia="Candara" w:hAnsi="Calibri" w:cs="Calibri"/>
          <w:sz w:val="24"/>
          <w:szCs w:val="24"/>
          <w:lang w:val="ms"/>
        </w:rPr>
        <w:instrText>ṭ</w:instrText>
      </w:r>
      <w:r w:rsidRPr="002F0A3A">
        <w:rPr>
          <w:rFonts w:ascii="Candara" w:eastAsia="Candara" w:hAnsi="Candara" w:cs="Candara"/>
          <w:sz w:val="24"/>
          <w:szCs w:val="24"/>
          <w:lang w:val="ms"/>
        </w:rPr>
        <w:instrText>bīqiyyah. This research confirms what researchers explain that the contribution of Sībawaih to the development of Na</w:instrText>
      </w:r>
      <w:r w:rsidRPr="002F0A3A">
        <w:rPr>
          <w:rFonts w:ascii="Calibri" w:eastAsia="Candara" w:hAnsi="Calibri" w:cs="Calibri"/>
          <w:sz w:val="24"/>
          <w:szCs w:val="24"/>
          <w:lang w:val="ms"/>
        </w:rPr>
        <w:instrText>ḥ</w:instrText>
      </w:r>
      <w:r w:rsidRPr="002F0A3A">
        <w:rPr>
          <w:rFonts w:ascii="Candara" w:eastAsia="Candara" w:hAnsi="Candara" w:cs="Candara"/>
          <w:sz w:val="24"/>
          <w:szCs w:val="24"/>
          <w:lang w:val="ms"/>
        </w:rPr>
        <w:instrText>wu lays on the classification of i’rabfor noun (ism) into raf‘,na</w:instrText>
      </w:r>
      <w:r w:rsidRPr="002F0A3A">
        <w:rPr>
          <w:rFonts w:ascii="Calibri" w:eastAsia="Candara" w:hAnsi="Calibri" w:cs="Calibri"/>
          <w:sz w:val="24"/>
          <w:szCs w:val="24"/>
          <w:lang w:val="ms"/>
        </w:rPr>
        <w:instrText>ṣ</w:instrText>
      </w:r>
      <w:r w:rsidRPr="002F0A3A">
        <w:rPr>
          <w:rFonts w:ascii="Candara" w:eastAsia="Candara" w:hAnsi="Candara" w:cs="Candara"/>
          <w:sz w:val="24"/>
          <w:szCs w:val="24"/>
          <w:lang w:val="ms"/>
        </w:rPr>
        <w:instrText>b and khafd. This so-established theory is simplified by Ibrāhīm Mu</w:instrText>
      </w:r>
      <w:r w:rsidRPr="002F0A3A">
        <w:rPr>
          <w:rFonts w:ascii="Calibri" w:eastAsia="Candara" w:hAnsi="Calibri" w:cs="Calibri"/>
          <w:sz w:val="24"/>
          <w:szCs w:val="24"/>
          <w:lang w:val="ms"/>
        </w:rPr>
        <w:instrText>ṣṭ</w:instrText>
      </w:r>
      <w:r w:rsidRPr="002F0A3A">
        <w:rPr>
          <w:rFonts w:ascii="Candara" w:eastAsia="Candara" w:hAnsi="Candara" w:cs="Candara"/>
          <w:sz w:val="24"/>
          <w:szCs w:val="24"/>
          <w:lang w:val="ms"/>
        </w:rPr>
        <w:instrText>afā who says that i</w:instrText>
      </w:r>
      <w:r w:rsidRPr="002F0A3A">
        <w:rPr>
          <w:rFonts w:ascii="Arial" w:eastAsia="Candara" w:hAnsi="Arial" w:cs="Arial"/>
          <w:sz w:val="24"/>
          <w:szCs w:val="24"/>
          <w:lang w:val="ms"/>
        </w:rPr>
        <w:instrText>ʻ</w:instrText>
      </w:r>
      <w:r w:rsidRPr="002F0A3A">
        <w:rPr>
          <w:rFonts w:ascii="Candara" w:eastAsia="Candara" w:hAnsi="Candara" w:cs="Candara"/>
          <w:sz w:val="24"/>
          <w:szCs w:val="24"/>
          <w:lang w:val="ms"/>
        </w:rPr>
        <w:instrText>rābconsists of dammahand kasrah.He does not take fathahinto account of i'rab.","language":"id","source":"Zotero","title":"Kontribusi Pemikiran Nahwu Imam Sībawaih dan Ibrāhīm Mu</w:instrText>
      </w:r>
      <w:r w:rsidRPr="002F0A3A">
        <w:rPr>
          <w:rFonts w:ascii="Calibri" w:eastAsia="Candara" w:hAnsi="Calibri" w:cs="Calibri"/>
          <w:sz w:val="24"/>
          <w:szCs w:val="24"/>
          <w:lang w:val="ms"/>
        </w:rPr>
        <w:instrText>ṣṭ</w:instrText>
      </w:r>
      <w:r w:rsidRPr="002F0A3A">
        <w:rPr>
          <w:rFonts w:ascii="Candara" w:eastAsia="Candara" w:hAnsi="Candara" w:cs="Candara"/>
          <w:sz w:val="24"/>
          <w:szCs w:val="24"/>
          <w:lang w:val="ms"/>
        </w:rPr>
        <w:instrText xml:space="preserve">afā dalam Linguistik Arab (Studi Komparatif Epistemologis)","volume":"8","author":[{"family":"Holilulloh","given":"Andi"}],"issued":{"date-parts":[["2020"]]}}}],"schema":"https://github.com/citation-style-language/schema/raw/master/csl-citation.json"} </w:instrText>
      </w:r>
      <w:r w:rsidRPr="002F0A3A">
        <w:rPr>
          <w:rFonts w:ascii="Candara" w:eastAsia="Candara" w:hAnsi="Candara" w:cs="Candara"/>
          <w:sz w:val="24"/>
          <w:szCs w:val="24"/>
          <w:lang w:val="ms"/>
        </w:rPr>
        <w:fldChar w:fldCharType="separate"/>
      </w:r>
      <w:r w:rsidRPr="002F0A3A">
        <w:rPr>
          <w:rFonts w:ascii="Candara" w:eastAsia="Candara" w:hAnsi="Candara" w:cs="Candara"/>
          <w:sz w:val="24"/>
          <w:szCs w:val="24"/>
          <w:lang w:val="ms"/>
        </w:rPr>
        <w:t>(Holilulloh, 2020)</w:t>
      </w:r>
      <w:r w:rsidRPr="002F0A3A">
        <w:rPr>
          <w:rFonts w:ascii="Candara" w:eastAsia="Candara" w:hAnsi="Candara" w:cs="Candara"/>
          <w:sz w:val="24"/>
          <w:szCs w:val="24"/>
          <w:lang w:val="da-DK"/>
        </w:rPr>
        <w:fldChar w:fldCharType="end"/>
      </w:r>
      <w:r w:rsidRPr="002F0A3A">
        <w:rPr>
          <w:rFonts w:ascii="Candara" w:eastAsia="Candara" w:hAnsi="Candara" w:cs="Candara"/>
          <w:sz w:val="24"/>
          <w:szCs w:val="24"/>
          <w:lang w:val="ms"/>
        </w:rPr>
        <w:t xml:space="preserve"> Epistemologi Sībawaih sangat dipengaruhi oleh lingkungan ilmiah Madrasah Bashrah yang menjunjung tinggi otentisitas bahasa Arab asli dari Al-Qur’an, sya’ir jahiliah, dan ucapan Arab Badui yang dianggap paling fasih.</w:t>
      </w:r>
    </w:p>
    <w:p w14:paraId="6380C8B7" w14:textId="77777777" w:rsidR="002F0A3A" w:rsidRDefault="002F0A3A" w:rsidP="002F0A3A">
      <w:pPr>
        <w:ind w:firstLine="720"/>
        <w:jc w:val="both"/>
        <w:rPr>
          <w:rFonts w:ascii="Candara" w:eastAsia="Candara" w:hAnsi="Candara" w:cs="Candara"/>
          <w:sz w:val="24"/>
          <w:szCs w:val="24"/>
          <w:lang w:val="ms"/>
        </w:rPr>
      </w:pPr>
    </w:p>
    <w:p w14:paraId="61D78F72" w14:textId="77777777" w:rsidR="002F0A3A" w:rsidRDefault="002F0A3A" w:rsidP="002F0A3A">
      <w:pPr>
        <w:ind w:firstLine="720"/>
        <w:jc w:val="both"/>
        <w:rPr>
          <w:rFonts w:ascii="Candara" w:eastAsia="Candara" w:hAnsi="Candara" w:cs="Candara"/>
          <w:sz w:val="24"/>
          <w:szCs w:val="24"/>
          <w:lang w:val="ms"/>
        </w:rPr>
      </w:pPr>
    </w:p>
    <w:p w14:paraId="47C33C9D" w14:textId="5EA10206"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lastRenderedPageBreak/>
        <w:t>Sumber utama dalam penetapan kaidah nahwu versi Imam Sībawaih adalah Al-Qur’an dan Qirā’ah-nya, syair-syair Arab jahiliah, serta bahasa masyarakat Arab Badui yang tidak terkontaminasi oleh bahasa asing. Ketiga sumber ini menjadi fondasi kuat dalam pembentukan kaidah nahwu yang bersifat otoritatif dan otentik. Menurut Imam Sībawaih, bahasa Arab yang digunakan oleh masyarakat Badui mencerminkan struktur bahasa Arab yang murni dan layak dijadikan hujjah dalam menyusun aturan gramatika. Hal ini menunjukkan bahwa epistemologi ilmu nahwu klasik dibangun di atas dasar bahasa yang hidup dan alami.</w:t>
      </w:r>
    </w:p>
    <w:p w14:paraId="27F937D1"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 xml:space="preserve">Imam Sībawaih juga dikenal dengan konsistensinya dalam menggunakan pendekatan qiyāsī, yakni metode analogi yang sistematis untuk menafsirkan hukum gramatikal terhadap lafadz-lafadz baru berdasarkan pola yang telah ada. Qiyās ini menjadi metode andalan yang membedakan Madrasah Bashrah dari Madrasah Kufah. Dalam konteks ini, Sībawaih memberikan kontribusi besar dalam membangun struktur ilmu nahwu yang tidak hanya berdasarkan hafalan semata, tetapi juga pada rasionalitas dan kausalitas yang bisa diuji secara ilmiah. </w:t>
      </w:r>
      <w:r w:rsidRPr="002F0A3A">
        <w:rPr>
          <w:rFonts w:ascii="Candara" w:eastAsia="Candara" w:hAnsi="Candara" w:cs="Candara"/>
          <w:sz w:val="24"/>
          <w:szCs w:val="24"/>
          <w:lang w:val="ms"/>
        </w:rPr>
        <w:fldChar w:fldCharType="begin"/>
      </w:r>
      <w:r w:rsidRPr="002F0A3A">
        <w:rPr>
          <w:rFonts w:ascii="Candara" w:eastAsia="Candara" w:hAnsi="Candara" w:cs="Candara"/>
          <w:sz w:val="24"/>
          <w:szCs w:val="24"/>
          <w:lang w:val="ms"/>
        </w:rPr>
        <w:instrText xml:space="preserve"> ADDIN ZOTERO_ITEM CSL_CITATION {"citationID":"OtbolKGh","properties":{"formattedCitation":"(Farid Ahmad Zulqornaen, 2025)","plainCitation":"(Farid Ahmad Zulqornaen, 2025)","noteIndex":0},"citationItems":[{"id":1936,"uris":["http://zotero.org/users/16580637/items/FBLI3AUZ"],"itemData":{"id":1936,"type":"article-journal","abstract":"This article examines the crucial role of Caliph Ali bin Abi Thalib in the development of the science of Nahwu, which became the foundation of Arabic grammar. With a qualitative and descriptive approach, this study analyzes the historical background, driving factors, and the influence of Ali's thoughts on the growth of the science of Nahwu. The findings of the study indicate that Ali bin Abi Thalib, through his assignment to Abu al-Aswad al-Duali, succeeded in laying the foundation for the development of well-structured Arabic language rules. This is very important to maintain the purity of the Qur'an and the understanding of Islamic teachings. Ali's thoughts and contributions are not only relevant in the context of Arabic linguistic history, but also have a lasting impact on Arabic language studies to this day.","container-title":"Jurnal Riset Multidisiplin Edukasi","DOI":"10.71282/jurmie.v2i3.206","ISSN":"3062-9624","issue":"3","journalAbbreviation":"JURMIE","language":"id","license":"https://creativecommons.org/licenses/by-sa/4.0","page":"275-290","source":"DOI.org (Crossref)","title":"Pengaruh Khalifah Ali Bin Abi Thalib Dalam Lahirnya Ilmu Nahwu: Studi Sejarah Awal Pembentukan Kaidah Bahasa Arab","title-short":"Pengaruh Khalifah Ali Bin Abi Thalib Dalam Lahirnya Ilmu Nahwu","volume":"2","author":[{"literal":"Farid Ahmad Zulqornaen"}],"issued":{"date-parts":[["2025",3,26]]}}}],"schema":"https://github.com/citation-style-language/schema/raw/master/csl-citation.json"} </w:instrText>
      </w:r>
      <w:r w:rsidRPr="002F0A3A">
        <w:rPr>
          <w:rFonts w:ascii="Candara" w:eastAsia="Candara" w:hAnsi="Candara" w:cs="Candara"/>
          <w:sz w:val="24"/>
          <w:szCs w:val="24"/>
          <w:lang w:val="ms"/>
        </w:rPr>
        <w:fldChar w:fldCharType="separate"/>
      </w:r>
      <w:r w:rsidRPr="002F0A3A">
        <w:rPr>
          <w:rFonts w:ascii="Candara" w:eastAsia="Candara" w:hAnsi="Candara" w:cs="Candara"/>
          <w:sz w:val="24"/>
          <w:szCs w:val="24"/>
          <w:lang w:val="ms"/>
        </w:rPr>
        <w:t>(Farid Ahmad Zulqornaen, 2025)</w:t>
      </w:r>
      <w:r w:rsidRPr="002F0A3A">
        <w:rPr>
          <w:rFonts w:ascii="Candara" w:eastAsia="Candara" w:hAnsi="Candara" w:cs="Candara"/>
          <w:sz w:val="24"/>
          <w:szCs w:val="24"/>
          <w:lang w:val="da-DK"/>
        </w:rPr>
        <w:fldChar w:fldCharType="end"/>
      </w:r>
    </w:p>
    <w:p w14:paraId="1EDF0C2B"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Konsep-konsep utama seperti ‘āmil (pengaruh kata terhadap i’rab), i’rab (perubahan akhir kata), serta pembagian kategori kata dalam bahasa Arab (isim, fi</w:t>
      </w:r>
      <w:r w:rsidRPr="002F0A3A">
        <w:rPr>
          <w:rFonts w:ascii="Arial" w:eastAsia="Candara" w:hAnsi="Arial" w:cs="Arial"/>
          <w:sz w:val="24"/>
          <w:szCs w:val="24"/>
          <w:lang w:val="ms"/>
        </w:rPr>
        <w:t>ʻ</w:t>
      </w:r>
      <w:r w:rsidRPr="002F0A3A">
        <w:rPr>
          <w:rFonts w:ascii="Candara" w:eastAsia="Candara" w:hAnsi="Candara" w:cs="Candara"/>
          <w:sz w:val="24"/>
          <w:szCs w:val="24"/>
          <w:lang w:val="ms"/>
        </w:rPr>
        <w:t xml:space="preserve">l, </w:t>
      </w:r>
      <w:r w:rsidRPr="002F0A3A">
        <w:rPr>
          <w:rFonts w:ascii="Calibri" w:eastAsia="Candara" w:hAnsi="Calibri" w:cs="Calibri"/>
          <w:sz w:val="24"/>
          <w:szCs w:val="24"/>
          <w:lang w:val="ms"/>
        </w:rPr>
        <w:t>ḥ</w:t>
      </w:r>
      <w:r w:rsidRPr="002F0A3A">
        <w:rPr>
          <w:rFonts w:ascii="Candara" w:eastAsia="Candara" w:hAnsi="Candara" w:cs="Candara"/>
          <w:sz w:val="24"/>
          <w:szCs w:val="24"/>
          <w:lang w:val="ms"/>
        </w:rPr>
        <w:t>arf) juga dipopulerkan dan dirumuskan secara rinci oleh Sībawaih. Ia mampu menyatukan beragam pendapat para guru sebelumnya seperti Imam Khalīl bin A</w:t>
      </w:r>
      <w:r w:rsidRPr="002F0A3A">
        <w:rPr>
          <w:rFonts w:ascii="Calibri" w:eastAsia="Candara" w:hAnsi="Calibri" w:cs="Calibri"/>
          <w:sz w:val="24"/>
          <w:szCs w:val="24"/>
          <w:lang w:val="ms"/>
        </w:rPr>
        <w:t>ḥ</w:t>
      </w:r>
      <w:r w:rsidRPr="002F0A3A">
        <w:rPr>
          <w:rFonts w:ascii="Candara" w:eastAsia="Candara" w:hAnsi="Candara" w:cs="Candara"/>
          <w:sz w:val="24"/>
          <w:szCs w:val="24"/>
          <w:lang w:val="ms"/>
        </w:rPr>
        <w:t>mad dan ulama-ulama Bashrah lainnya, lalu mengkodifikasikannya dalam sistem yang terstruktur. Bahkan, dalam beberapa hal, ia berani mengajukan pendapat baru yang menjadi rujukan pokok dalam tradisi nahwu berikutnya.</w:t>
      </w:r>
    </w:p>
    <w:p w14:paraId="6DE28CC8"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 xml:space="preserve">Dengan demikian, warisan Imam Sībawaih dalam ilmu nahwu klasik tidak hanya sebatas pada penyusunan kaidah, tetapi juga pada fondasi epistemologis yang kuat. Ia menempatkan ilmu nahwu sebagai ilmu yang rasional, sistematis, dan memiliki pijakan ilmiah yang jelas. </w:t>
      </w:r>
      <w:r w:rsidRPr="002F0A3A">
        <w:rPr>
          <w:rFonts w:ascii="Candara" w:eastAsia="Candara" w:hAnsi="Candara" w:cs="Candara"/>
          <w:sz w:val="24"/>
          <w:szCs w:val="24"/>
          <w:lang w:val="ms"/>
        </w:rPr>
        <w:fldChar w:fldCharType="begin"/>
      </w:r>
      <w:r w:rsidRPr="002F0A3A">
        <w:rPr>
          <w:rFonts w:ascii="Candara" w:eastAsia="Candara" w:hAnsi="Candara" w:cs="Candara"/>
          <w:sz w:val="24"/>
          <w:szCs w:val="24"/>
          <w:lang w:val="ms"/>
        </w:rPr>
        <w:instrText xml:space="preserve"> ADDIN ZOTERO_ITEM CSL_CITATION {"citationID":"Adc00Ow1","properties":{"formattedCitation":"(Anwar, 2021)","plainCitation":"(Anwar, 2021)","noteIndex":0},"citationItems":[{"id":1937,"uris":["http://zotero.org/users/16580637/items/JNL27Z54"],"itemData":{"id":1937,"type":"article-journal","abstract":"Nahwu Sufi is the nahwu book by Imam al-Qusyairi whose writing seems unique and interesting to be studied more deeply. Imam al-Qusyairi tries to combine two disciplines, namely nahwu and tasawuf. But in this case Imam al-Qusyairi gave a new color to the Islamic discipline. In this book, nahw al-Qulub begins with an explanation of tauhid or affirmation to God, then the exoteric meaning of the word (zahir) is explained, which then explains the meaning of the word according to the perspective of Sufi scholars, namely esoterik (inner). In the book Nahwul Qulub explains how humans get closer to the Creator, human spiritual journey, and provides an overview of the state and life in this world towards eternal life. This type of library research or library research, which takes several sources of data from various theories in the literature. The result of this research is that Imam alQusyairi gives an idea that the elements of Sufism can be incorporated into various kinds of other sciences and there is no conflict whatsoever between Sufism and other sciences. With the presence of Nahwu Sufi this is not to eliminate nahwu in general, but with the existence of this Sufi nahwu, it gives a new color to nahwu science so that learners can learn it more enthusiastically. In this book Nahwul Qulub teaches us about ethics in life, teaches how to clean ourselves, heart and mind and get closer to or worship God. It also teaches us to always organize our hearts, words, attitudes and actions in daily life, so that everything we do is in accordance with the guidance of religious shari'ah.","container-title":"Tsaqofiya : Jurnal Pendidikan Bahasa dan Sastra Arab","DOI":"10.21154/tsaqofiya.v3i2.74","ISSN":"2685-7103, 2685-7022","issue":"2","journalAbbreviation":"JT","language":"id","page":"158-175","source":"DOI.org (Crossref)","title":"Nahwu Sufistik: Kajian Tasawwuf dalam Kitab Nahw Al-Qulub Karya Imam Al-Qusyairi","title-short":"Nahwu Sufistik","volume":"3","author":[{"family":"Anwar","given":"Khaerul"}],"issued":{"date-parts":[["2021",7,31]]}}}],"schema":"https://github.com/citation-style-language/schema/raw/master/csl-citation.json"} </w:instrText>
      </w:r>
      <w:r w:rsidRPr="002F0A3A">
        <w:rPr>
          <w:rFonts w:ascii="Candara" w:eastAsia="Candara" w:hAnsi="Candara" w:cs="Candara"/>
          <w:sz w:val="24"/>
          <w:szCs w:val="24"/>
          <w:lang w:val="ms"/>
        </w:rPr>
        <w:fldChar w:fldCharType="separate"/>
      </w:r>
      <w:r w:rsidRPr="002F0A3A">
        <w:rPr>
          <w:rFonts w:ascii="Candara" w:eastAsia="Candara" w:hAnsi="Candara" w:cs="Candara"/>
          <w:sz w:val="24"/>
          <w:szCs w:val="24"/>
          <w:lang w:val="ms"/>
        </w:rPr>
        <w:t>(Anwar, 2021)</w:t>
      </w:r>
      <w:r w:rsidRPr="002F0A3A">
        <w:rPr>
          <w:rFonts w:ascii="Candara" w:eastAsia="Candara" w:hAnsi="Candara" w:cs="Candara"/>
          <w:sz w:val="24"/>
          <w:szCs w:val="24"/>
          <w:lang w:val="da-DK"/>
        </w:rPr>
        <w:fldChar w:fldCharType="end"/>
      </w:r>
      <w:r w:rsidRPr="002F0A3A">
        <w:rPr>
          <w:rFonts w:ascii="Candara" w:eastAsia="Candara" w:hAnsi="Candara" w:cs="Candara"/>
          <w:sz w:val="24"/>
          <w:szCs w:val="24"/>
          <w:lang w:val="ms"/>
        </w:rPr>
        <w:t xml:space="preserve"> Pemikirannya membuka jalan bagi pembentukan tradisi linguistik Arab yang kokoh selama berabad-abad dan menjadi tonggak penting dalam sejarah gramatika Arab. Keberadaan Al-Kitāb sebagai magnum opus-nya adalah bukti konkret bahwa ilmu nahwu klasik telah mencapai puncak kejayaannya di tangan Imam Sībawaih.</w:t>
      </w:r>
    </w:p>
    <w:p w14:paraId="273FD995" w14:textId="77777777" w:rsidR="002F0A3A" w:rsidRPr="002F0A3A" w:rsidRDefault="002F0A3A" w:rsidP="002F0A3A">
      <w:pPr>
        <w:jc w:val="both"/>
        <w:rPr>
          <w:rFonts w:ascii="Candara" w:eastAsia="Candara" w:hAnsi="Candara" w:cs="Candara"/>
          <w:b/>
          <w:bCs/>
          <w:sz w:val="24"/>
          <w:szCs w:val="24"/>
          <w:lang w:val="ms"/>
        </w:rPr>
      </w:pPr>
      <w:r w:rsidRPr="002F0A3A">
        <w:rPr>
          <w:rFonts w:ascii="Candara" w:eastAsia="Candara" w:hAnsi="Candara" w:cs="Candara"/>
          <w:b/>
          <w:bCs/>
          <w:sz w:val="24"/>
          <w:szCs w:val="24"/>
          <w:lang w:val="ms"/>
        </w:rPr>
        <w:t>Kritik Ibrāhīm Mu</w:t>
      </w:r>
      <w:r w:rsidRPr="002F0A3A">
        <w:rPr>
          <w:rFonts w:ascii="Calibri" w:eastAsia="Candara" w:hAnsi="Calibri" w:cs="Calibri"/>
          <w:b/>
          <w:bCs/>
          <w:sz w:val="24"/>
          <w:szCs w:val="24"/>
          <w:lang w:val="ms"/>
        </w:rPr>
        <w:t>ṣṭ</w:t>
      </w:r>
      <w:r w:rsidRPr="002F0A3A">
        <w:rPr>
          <w:rFonts w:ascii="Candara" w:eastAsia="Candara" w:hAnsi="Candara" w:cs="Candara"/>
          <w:b/>
          <w:bCs/>
          <w:sz w:val="24"/>
          <w:szCs w:val="24"/>
          <w:lang w:val="ms"/>
        </w:rPr>
        <w:t>afā terhadap Ilmu Nahwu Klasik</w:t>
      </w:r>
    </w:p>
    <w:p w14:paraId="578AE598"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dikenal sebagai tokoh reformis dalam bidang ilmu nahwu yang tidak hanya menawarkan pembaharuan, tetapi juga memberikan kritik tajam terhadap sistem nahwu klasik yang telah mapan. Kritik-kritik tersebut secara sistematis ia tuangkan dalam karya terkenalnya I</w:t>
      </w:r>
      <w:r w:rsidRPr="002F0A3A">
        <w:rPr>
          <w:rFonts w:ascii="Calibri" w:eastAsia="Candara" w:hAnsi="Calibri" w:cs="Calibri"/>
          <w:sz w:val="24"/>
          <w:szCs w:val="24"/>
          <w:lang w:val="ms"/>
        </w:rPr>
        <w:t>ḥ</w:t>
      </w:r>
      <w:r w:rsidRPr="002F0A3A">
        <w:rPr>
          <w:rFonts w:ascii="Candara" w:eastAsia="Candara" w:hAnsi="Candara" w:cs="Candara"/>
          <w:sz w:val="24"/>
          <w:szCs w:val="24"/>
          <w:lang w:val="ms"/>
        </w:rPr>
        <w:t>yā’ an-Na</w:t>
      </w:r>
      <w:r w:rsidRPr="002F0A3A">
        <w:rPr>
          <w:rFonts w:ascii="Calibri" w:eastAsia="Candara" w:hAnsi="Calibri" w:cs="Calibri"/>
          <w:sz w:val="24"/>
          <w:szCs w:val="24"/>
          <w:lang w:val="ms"/>
        </w:rPr>
        <w:t>ḥ</w:t>
      </w:r>
      <w:r w:rsidRPr="002F0A3A">
        <w:rPr>
          <w:rFonts w:ascii="Candara" w:eastAsia="Candara" w:hAnsi="Candara" w:cs="Candara"/>
          <w:sz w:val="24"/>
          <w:szCs w:val="24"/>
          <w:lang w:val="ms"/>
        </w:rPr>
        <w:t>wi. Karya ini merupakan hasil dari perenungan panjang atas kompleksitas dan kekakuan struktur ilmu nahwu klasik yang dinilainya tidak lagi sesuai dengan perkembangan zaman. Ia menilai bahwa ilmu nahwu klasik terlalu berbelit dan menekankan pada hafalan kaidah daripada pemahaman makna.</w:t>
      </w:r>
    </w:p>
    <w:p w14:paraId="0696E877"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Salah satu kritik utama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adalah terhadap konsep ‘āmil yang menjadi fondasi dalam nahwu klasik. Menurutnya, teori ‘āmil terlalu abstrak dan tidak memberikan kejelasan fungsional dalam praktik berbahasa Arab. Ia mempertanyakan keberadaan ‘āmil yang seringkali bersifat tak terlihat (muqaddar) dan hanya diasumsikan, tanpa penjelasan yang memadai dari sisi semantik maupun pragmatis. Baginya, banyaknya 'āmil yang ditetapkan ulama klasik justru memperumit pemahaman siswa dalam mempelajari struktur kalimat bahasa Arab.</w:t>
      </w:r>
    </w:p>
    <w:p w14:paraId="6660D473"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Kritik lain yang tak kalah penting adalah dalam hal definisi ilmu nahwu itu sendiri. Jika ulama klasik mendefinisikan nahwu sebagai ilmu yang mempelajari keadaan akhir kata dalam kalimat, maka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 xml:space="preserve">afā menganggap definisi ini terlalu sempit. Ia menyarankan agar definisi nahwu mencakup unsur pemaknaan, </w:t>
      </w:r>
      <w:r w:rsidRPr="002F0A3A">
        <w:rPr>
          <w:rFonts w:ascii="Candara" w:eastAsia="Candara" w:hAnsi="Candara" w:cs="Candara"/>
          <w:sz w:val="24"/>
          <w:szCs w:val="24"/>
          <w:lang w:val="ms"/>
        </w:rPr>
        <w:lastRenderedPageBreak/>
        <w:t>posisi kata, serta relasi antar kata dalam satu susunan kalimat. Menurutnya, ilmu nahwu seharusnya menjawab pertanyaan "bagaimana makna tersampaikan secara tepat dalam susunan kalimat," bukan sekadar membahas bentuk akhir kata.</w:t>
      </w:r>
    </w:p>
    <w:p w14:paraId="2BC33AF6"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Selain itu,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juga menyoroti kerumitan dalam sistem i’rab, terutama pada penggunaan tanda-tanda i’rab yang dianggap tidak relevan secara fungsional. Ia mengkritisi keberadaan fathah sebagai tanda i’rab dan menyatakan bahwa hanya dammah dan kasrah saja yang berfungsi logis sebagai penanda makna, sementara fathah hanya berperan sebagai harakat yang disukai karena ringan. Kritik ini menunjukkan pendekatannya yang pragmatis dan cenderung menekankan aspek kemudahan dalam pembelajaran bahasa Arab.</w:t>
      </w:r>
    </w:p>
    <w:p w14:paraId="7BB9BA84"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juga mengevaluasi penyusunan bab-bab dalam buku-buku nahwu klasik yang menurutnya tidak sistematis dan kurang kontekstual. Ia menyatakan bahwa banyak bab dalam ilmu nahwu tradisional yang terkesan dibuat-buat, membingungkan, dan terlalu kaku. Oleh karena itu, dalam I</w:t>
      </w:r>
      <w:r w:rsidRPr="002F0A3A">
        <w:rPr>
          <w:rFonts w:ascii="Calibri" w:eastAsia="Candara" w:hAnsi="Calibri" w:cs="Calibri"/>
          <w:sz w:val="24"/>
          <w:szCs w:val="24"/>
          <w:lang w:val="ms"/>
        </w:rPr>
        <w:t>ḥ</w:t>
      </w:r>
      <w:r w:rsidRPr="002F0A3A">
        <w:rPr>
          <w:rFonts w:ascii="Candara" w:eastAsia="Candara" w:hAnsi="Candara" w:cs="Candara"/>
          <w:sz w:val="24"/>
          <w:szCs w:val="24"/>
          <w:lang w:val="ms"/>
        </w:rPr>
        <w:t>yā’ an-Na</w:t>
      </w:r>
      <w:r w:rsidRPr="002F0A3A">
        <w:rPr>
          <w:rFonts w:ascii="Calibri" w:eastAsia="Candara" w:hAnsi="Calibri" w:cs="Calibri"/>
          <w:sz w:val="24"/>
          <w:szCs w:val="24"/>
          <w:lang w:val="ms"/>
        </w:rPr>
        <w:t>ḥ</w:t>
      </w:r>
      <w:r w:rsidRPr="002F0A3A">
        <w:rPr>
          <w:rFonts w:ascii="Candara" w:eastAsia="Candara" w:hAnsi="Candara" w:cs="Candara"/>
          <w:sz w:val="24"/>
          <w:szCs w:val="24"/>
          <w:lang w:val="ms"/>
        </w:rPr>
        <w:t>wi, ia merestrukturisasi pembahasan nahwu agar lebih komunikatif dan efisien, sesuai dengan tuntutan dunia pendidikan modern. Tujuannya adalah agar nahwu dapat dipahami tidak hanya oleh kalangan akademisi, tetapi juga oleh pembelajar bahasa Arab dari berbagai latar belakang.</w:t>
      </w:r>
    </w:p>
    <w:p w14:paraId="1F356147"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Dengan semua kritik tersebut,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sejatinya tidak berniat menghapus ilmu nahwu klasik secara total. Sebaliknya, ia ingin menyederhanakan, memperbarui, dan membuatnya lebih adaptif terhadap perkembangan zaman dan kebutuhan pengajaran bahasa Arab yang modern. Kritiknya adalah bentuk kepedulian terhadap eksistensi dan efektivitas ilmu nahwu agar tetap hidup, tidak hanya sebagai warisan klasik, tetapi juga sebagai instrumen praktis dalam menguasai bahasa Arab dengan baik dan benar.</w:t>
      </w:r>
    </w:p>
    <w:p w14:paraId="5DE19611" w14:textId="77777777" w:rsidR="002F0A3A" w:rsidRPr="002F0A3A" w:rsidRDefault="002F0A3A" w:rsidP="002F0A3A">
      <w:pPr>
        <w:jc w:val="both"/>
        <w:rPr>
          <w:rFonts w:ascii="Candara" w:eastAsia="Candara" w:hAnsi="Candara" w:cs="Candara"/>
          <w:b/>
          <w:bCs/>
          <w:sz w:val="24"/>
          <w:szCs w:val="24"/>
          <w:lang w:val="ms"/>
        </w:rPr>
      </w:pPr>
      <w:r w:rsidRPr="002F0A3A">
        <w:rPr>
          <w:rFonts w:ascii="Candara" w:eastAsia="Candara" w:hAnsi="Candara" w:cs="Candara"/>
          <w:b/>
          <w:bCs/>
          <w:sz w:val="24"/>
          <w:szCs w:val="24"/>
          <w:lang w:val="ms"/>
        </w:rPr>
        <w:t>Epistemologi Nahwu Modern: Gagasan dan Inovasi Ibrāhīm Mu</w:t>
      </w:r>
      <w:r w:rsidRPr="002F0A3A">
        <w:rPr>
          <w:rFonts w:ascii="Calibri" w:eastAsia="Candara" w:hAnsi="Calibri" w:cs="Calibri"/>
          <w:b/>
          <w:bCs/>
          <w:sz w:val="24"/>
          <w:szCs w:val="24"/>
          <w:lang w:val="ms"/>
        </w:rPr>
        <w:t>ṣṭ</w:t>
      </w:r>
      <w:r w:rsidRPr="002F0A3A">
        <w:rPr>
          <w:rFonts w:ascii="Candara" w:eastAsia="Candara" w:hAnsi="Candara" w:cs="Candara"/>
          <w:b/>
          <w:bCs/>
          <w:sz w:val="24"/>
          <w:szCs w:val="24"/>
          <w:lang w:val="ms"/>
        </w:rPr>
        <w:t>afā</w:t>
      </w:r>
    </w:p>
    <w:p w14:paraId="3246E9A3"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Epistemologi nahwu modern yang ditawarkan oleh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merupakan respon terhadap kebutuhan zaman yang menuntut kesederhanaan dan fungsionalitas dalam pembelajaran bahasa Arab. Ia berusaha menggeser pendekatan ilmu nahwu dari yang semula tekstual-doktrinal menjadi kontekstual-aplikatif. Dalam hal ini,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membangun fondasi nahwu modern melalui pendekatan tan</w:t>
      </w:r>
      <w:r w:rsidRPr="002F0A3A">
        <w:rPr>
          <w:rFonts w:ascii="Calibri" w:eastAsia="Candara" w:hAnsi="Calibri" w:cs="Calibri"/>
          <w:sz w:val="24"/>
          <w:szCs w:val="24"/>
          <w:lang w:val="ms"/>
        </w:rPr>
        <w:t>ẓ</w:t>
      </w:r>
      <w:r w:rsidRPr="002F0A3A">
        <w:rPr>
          <w:rFonts w:ascii="Candara" w:eastAsia="Candara" w:hAnsi="Candara" w:cs="Candara"/>
          <w:sz w:val="24"/>
          <w:szCs w:val="24"/>
          <w:lang w:val="ms"/>
        </w:rPr>
        <w:t>īriyyah (teoritis) dan ta</w:t>
      </w:r>
      <w:r w:rsidRPr="002F0A3A">
        <w:rPr>
          <w:rFonts w:ascii="Calibri" w:eastAsia="Candara" w:hAnsi="Calibri" w:cs="Calibri"/>
          <w:sz w:val="24"/>
          <w:szCs w:val="24"/>
          <w:lang w:val="ms"/>
        </w:rPr>
        <w:t>ṭ</w:t>
      </w:r>
      <w:r w:rsidRPr="002F0A3A">
        <w:rPr>
          <w:rFonts w:ascii="Candara" w:eastAsia="Candara" w:hAnsi="Candara" w:cs="Candara"/>
          <w:sz w:val="24"/>
          <w:szCs w:val="24"/>
          <w:lang w:val="ms"/>
        </w:rPr>
        <w:t>bīqiyyah (praktis), yakni sebuah kombinasi antara teori yang disusun secara rasional dan aplikatif terhadap kenyataan berbahasa dalam praktik keseharian.</w:t>
      </w:r>
    </w:p>
    <w:p w14:paraId="657DD56C"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Dalam karya utamanya I</w:t>
      </w:r>
      <w:r w:rsidRPr="002F0A3A">
        <w:rPr>
          <w:rFonts w:ascii="Calibri" w:eastAsia="Candara" w:hAnsi="Calibri" w:cs="Calibri"/>
          <w:sz w:val="24"/>
          <w:szCs w:val="24"/>
          <w:lang w:val="ms"/>
        </w:rPr>
        <w:t>ḥ</w:t>
      </w:r>
      <w:r w:rsidRPr="002F0A3A">
        <w:rPr>
          <w:rFonts w:ascii="Candara" w:eastAsia="Candara" w:hAnsi="Candara" w:cs="Candara"/>
          <w:sz w:val="24"/>
          <w:szCs w:val="24"/>
          <w:lang w:val="ms"/>
        </w:rPr>
        <w:t>yā’ an-Na</w:t>
      </w:r>
      <w:r w:rsidRPr="002F0A3A">
        <w:rPr>
          <w:rFonts w:ascii="Calibri" w:eastAsia="Candara" w:hAnsi="Calibri" w:cs="Calibri"/>
          <w:sz w:val="24"/>
          <w:szCs w:val="24"/>
          <w:lang w:val="ms"/>
        </w:rPr>
        <w:t>ḥ</w:t>
      </w:r>
      <w:r w:rsidRPr="002F0A3A">
        <w:rPr>
          <w:rFonts w:ascii="Candara" w:eastAsia="Candara" w:hAnsi="Candara" w:cs="Candara"/>
          <w:sz w:val="24"/>
          <w:szCs w:val="24"/>
          <w:lang w:val="ms"/>
        </w:rPr>
        <w:t>wi,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menyatakan bahwa salah satu kelemahan terbesar ilmu nahwu klasik adalah kurangnya penekanan terhadap makna dan konteks pemakaian bahasa. Oleh karena itu, ia mencoba menyusun ulang ilmu nahwu berdasarkan pada kebutuhan untuk memahami struktur bahasa Arab secara utuh, mulai dari relasi sintaksis hingga aspek semantik. Menurutnya, pemahaman bahasa harus dibangun melalui keterkaitan antar unsur dalam kalimat, bukan hanya melalui bentuk akhir kata.</w:t>
      </w:r>
    </w:p>
    <w:p w14:paraId="27718DD1"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Salah satu gagasan inovatif yang ia usung adalah redefinisi terhadap konsep i’rab.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berpendapat bahwa i’rab tidak perlu dikaitkan secara ketat dengan keberadaan ‘āmil seperti dalam nahwu klasik, melainkan harus ditinjau dari sisi fungsional dan makna yang dihasilkan dalam komunikasi. Ia bahkan menolak fathah sebagai tanda i’rab karena dianggap tidak memiliki beban makna. Sebaliknya, ia menekankan bahwa hanya dammah sebagai tanda isnād (penyangga subjek) dan kasrah sebagai tanda i</w:t>
      </w:r>
      <w:r w:rsidRPr="002F0A3A">
        <w:rPr>
          <w:rFonts w:ascii="Calibri" w:eastAsia="Candara" w:hAnsi="Calibri" w:cs="Calibri"/>
          <w:sz w:val="24"/>
          <w:szCs w:val="24"/>
          <w:lang w:val="ms"/>
        </w:rPr>
        <w:t>ḍ</w:t>
      </w:r>
      <w:r w:rsidRPr="002F0A3A">
        <w:rPr>
          <w:rFonts w:ascii="Candara" w:eastAsia="Candara" w:hAnsi="Candara" w:cs="Candara"/>
          <w:sz w:val="24"/>
          <w:szCs w:val="24"/>
          <w:lang w:val="ms"/>
        </w:rPr>
        <w:t>āfah yang relevan secara semantik.</w:t>
      </w:r>
    </w:p>
    <w:p w14:paraId="4A5A4EE3" w14:textId="77777777" w:rsidR="002F0A3A" w:rsidRDefault="002F0A3A" w:rsidP="002F0A3A">
      <w:pPr>
        <w:ind w:firstLine="720"/>
        <w:jc w:val="both"/>
        <w:rPr>
          <w:rFonts w:ascii="Candara" w:eastAsia="Candara" w:hAnsi="Candara" w:cs="Candara"/>
          <w:sz w:val="24"/>
          <w:szCs w:val="24"/>
          <w:lang w:val="ms"/>
        </w:rPr>
      </w:pPr>
    </w:p>
    <w:p w14:paraId="127E5888" w14:textId="77777777" w:rsidR="002F0A3A" w:rsidRDefault="002F0A3A" w:rsidP="002F0A3A">
      <w:pPr>
        <w:ind w:firstLine="720"/>
        <w:jc w:val="both"/>
        <w:rPr>
          <w:rFonts w:ascii="Candara" w:eastAsia="Candara" w:hAnsi="Candara" w:cs="Candara"/>
          <w:sz w:val="24"/>
          <w:szCs w:val="24"/>
          <w:lang w:val="ms"/>
        </w:rPr>
      </w:pPr>
    </w:p>
    <w:p w14:paraId="56278B50" w14:textId="77777777" w:rsidR="002F0A3A" w:rsidRPr="002F0A3A" w:rsidRDefault="002F0A3A" w:rsidP="002F0A3A">
      <w:pPr>
        <w:ind w:firstLine="720"/>
        <w:jc w:val="both"/>
        <w:rPr>
          <w:rFonts w:ascii="Candara" w:eastAsia="Candara" w:hAnsi="Candara" w:cs="Candara"/>
          <w:sz w:val="24"/>
          <w:szCs w:val="24"/>
          <w:lang w:val="ms"/>
        </w:rPr>
      </w:pPr>
    </w:p>
    <w:p w14:paraId="05912AA4"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lastRenderedPageBreak/>
        <w:t>Lebih lanjut, dalam menyederhanakan ilmu nahwu,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juga memperkenalkan klasifikasi ulang terhadap struktur kalimat. Misalnya, dalam struktur mubtada’-khabar dan fi</w:t>
      </w:r>
      <w:r w:rsidRPr="002F0A3A">
        <w:rPr>
          <w:rFonts w:ascii="Arial" w:eastAsia="Candara" w:hAnsi="Arial" w:cs="Arial"/>
          <w:sz w:val="24"/>
          <w:szCs w:val="24"/>
          <w:lang w:val="ms"/>
        </w:rPr>
        <w:t>ʻ</w:t>
      </w:r>
      <w:r w:rsidRPr="002F0A3A">
        <w:rPr>
          <w:rFonts w:ascii="Candara" w:eastAsia="Candara" w:hAnsi="Candara" w:cs="Candara"/>
          <w:sz w:val="24"/>
          <w:szCs w:val="24"/>
          <w:lang w:val="ms"/>
        </w:rPr>
        <w:t>l-fā</w:t>
      </w:r>
      <w:r w:rsidRPr="002F0A3A">
        <w:rPr>
          <w:rFonts w:ascii="Arial" w:eastAsia="Candara" w:hAnsi="Arial" w:cs="Arial"/>
          <w:sz w:val="24"/>
          <w:szCs w:val="24"/>
          <w:lang w:val="ms"/>
        </w:rPr>
        <w:t>ʻ</w:t>
      </w:r>
      <w:r w:rsidRPr="002F0A3A">
        <w:rPr>
          <w:rFonts w:ascii="Candara" w:eastAsia="Candara" w:hAnsi="Candara" w:cs="Candara"/>
          <w:sz w:val="24"/>
          <w:szCs w:val="24"/>
          <w:lang w:val="ms"/>
        </w:rPr>
        <w:t>il, ia mengganti istilah klasik menjadi musnad ilaih dan musnad. Pergeseran istilah ini bukan sekadar perubahan istilah semata, melainkan merupakan upaya mendekatkan nahwu kepada pemahaman sintaksis modern di mana penekanan terletak pada hubungan predikatif dalam kalimat, bukan semata-mata pada bentuk atau posisi kata.</w:t>
      </w:r>
    </w:p>
    <w:p w14:paraId="2D1D96B1"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Inovasi lainnya adalah peninjauan kembali terhadap konsep tawābi</w:t>
      </w:r>
      <w:r w:rsidRPr="002F0A3A">
        <w:rPr>
          <w:rFonts w:ascii="Arial" w:eastAsia="Candara" w:hAnsi="Arial" w:cs="Arial"/>
          <w:sz w:val="24"/>
          <w:szCs w:val="24"/>
          <w:lang w:val="ms"/>
        </w:rPr>
        <w:t>ʻ</w:t>
      </w:r>
      <w:r w:rsidRPr="002F0A3A">
        <w:rPr>
          <w:rFonts w:ascii="Candara" w:eastAsia="Candara" w:hAnsi="Candara" w:cs="Candara"/>
          <w:sz w:val="24"/>
          <w:szCs w:val="24"/>
          <w:lang w:val="ms"/>
        </w:rPr>
        <w:t>, khususnya terhadap ‘a</w:t>
      </w:r>
      <w:r w:rsidRPr="002F0A3A">
        <w:rPr>
          <w:rFonts w:ascii="Calibri" w:eastAsia="Candara" w:hAnsi="Calibri" w:cs="Calibri"/>
          <w:sz w:val="24"/>
          <w:szCs w:val="24"/>
          <w:lang w:val="ms"/>
        </w:rPr>
        <w:t>ṭ</w:t>
      </w:r>
      <w:r w:rsidRPr="002F0A3A">
        <w:rPr>
          <w:rFonts w:ascii="Candara" w:eastAsia="Candara" w:hAnsi="Candara" w:cs="Candara"/>
          <w:sz w:val="24"/>
          <w:szCs w:val="24"/>
          <w:lang w:val="ms"/>
        </w:rPr>
        <w:t>af. Dalam pandangan nahwu klasik, ‘a</w:t>
      </w:r>
      <w:r w:rsidRPr="002F0A3A">
        <w:rPr>
          <w:rFonts w:ascii="Calibri" w:eastAsia="Candara" w:hAnsi="Calibri" w:cs="Calibri"/>
          <w:sz w:val="24"/>
          <w:szCs w:val="24"/>
          <w:lang w:val="ms"/>
        </w:rPr>
        <w:t>ṭ</w:t>
      </w:r>
      <w:r w:rsidRPr="002F0A3A">
        <w:rPr>
          <w:rFonts w:ascii="Candara" w:eastAsia="Candara" w:hAnsi="Candara" w:cs="Candara"/>
          <w:sz w:val="24"/>
          <w:szCs w:val="24"/>
          <w:lang w:val="ms"/>
        </w:rPr>
        <w:t>af termasuk dalam kelompok tawābi</w:t>
      </w:r>
      <w:r w:rsidRPr="002F0A3A">
        <w:rPr>
          <w:rFonts w:ascii="Arial" w:eastAsia="Candara" w:hAnsi="Arial" w:cs="Arial"/>
          <w:sz w:val="24"/>
          <w:szCs w:val="24"/>
          <w:lang w:val="ms"/>
        </w:rPr>
        <w:t>ʻ</w:t>
      </w:r>
      <w:r w:rsidRPr="002F0A3A">
        <w:rPr>
          <w:rFonts w:ascii="Candara" w:eastAsia="Candara" w:hAnsi="Candara" w:cs="Candara"/>
          <w:sz w:val="24"/>
          <w:szCs w:val="24"/>
          <w:lang w:val="ms"/>
        </w:rPr>
        <w:t xml:space="preserve"> bersama na</w:t>
      </w:r>
      <w:r w:rsidRPr="002F0A3A">
        <w:rPr>
          <w:rFonts w:ascii="Arial" w:eastAsia="Candara" w:hAnsi="Arial" w:cs="Arial"/>
          <w:sz w:val="24"/>
          <w:szCs w:val="24"/>
          <w:lang w:val="ms"/>
        </w:rPr>
        <w:t>ʻ</w:t>
      </w:r>
      <w:r w:rsidRPr="002F0A3A">
        <w:rPr>
          <w:rFonts w:ascii="Candara" w:eastAsia="Candara" w:hAnsi="Candara" w:cs="Candara"/>
          <w:sz w:val="24"/>
          <w:szCs w:val="24"/>
          <w:lang w:val="ms"/>
        </w:rPr>
        <w:t>at, badal, dan taukīd. Namun,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memisahkannya karena menurutnya ‘a</w:t>
      </w:r>
      <w:r w:rsidRPr="002F0A3A">
        <w:rPr>
          <w:rFonts w:ascii="Calibri" w:eastAsia="Candara" w:hAnsi="Calibri" w:cs="Calibri"/>
          <w:sz w:val="24"/>
          <w:szCs w:val="24"/>
          <w:lang w:val="ms"/>
        </w:rPr>
        <w:t>ṭ</w:t>
      </w:r>
      <w:r w:rsidRPr="002F0A3A">
        <w:rPr>
          <w:rFonts w:ascii="Candara" w:eastAsia="Candara" w:hAnsi="Candara" w:cs="Candara"/>
          <w:sz w:val="24"/>
          <w:szCs w:val="24"/>
          <w:lang w:val="ms"/>
        </w:rPr>
        <w:t>af memiliki struktur yang lebih independen dan tidak bersifat pengikut (tābi’), melainkan seringkali sejajar dengan ma’</w:t>
      </w:r>
      <w:r w:rsidRPr="002F0A3A">
        <w:rPr>
          <w:rFonts w:ascii="Calibri" w:eastAsia="Candara" w:hAnsi="Calibri" w:cs="Calibri"/>
          <w:sz w:val="24"/>
          <w:szCs w:val="24"/>
          <w:lang w:val="ms"/>
        </w:rPr>
        <w:t>ṭ</w:t>
      </w:r>
      <w:r w:rsidRPr="002F0A3A">
        <w:rPr>
          <w:rFonts w:ascii="Candara" w:eastAsia="Candara" w:hAnsi="Candara" w:cs="Candara"/>
          <w:sz w:val="24"/>
          <w:szCs w:val="24"/>
          <w:lang w:val="ms"/>
        </w:rPr>
        <w:t>ūf ‘alaih-nya. Gagasan ini menunjukkan pendekatan baru dalam memahami relasi antar kata dalam kalimat yang lebih dinamis dan tidak terlalu terikat pada hierarki struktur tradisional.</w:t>
      </w:r>
    </w:p>
    <w:p w14:paraId="632AD838"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Secara keseluruhan, epistemologi nahwu modern ala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tidak hanya menawarkan perubahan istilah dan sistematika, tetapi juga memperkenalkan cara berpikir baru dalam memahami bahasa Arab. Ia menekankan pentingnya memahami bahasa sebagai alat komunikasi yang hidup dan berkembang, bukan sekadar objek studi yang kaku dan penuh beban teori lama. Gagasannya mencerminkan semangat pembaruan yang menyatukan tradisi dan modernitas dalam satu kerangka yang lebih sederhana, rasional, dan aplikatif.</w:t>
      </w:r>
    </w:p>
    <w:p w14:paraId="7DB5C6F7" w14:textId="77777777" w:rsidR="002F0A3A" w:rsidRPr="002F0A3A" w:rsidRDefault="002F0A3A" w:rsidP="002F0A3A">
      <w:pPr>
        <w:jc w:val="both"/>
        <w:rPr>
          <w:rFonts w:ascii="Candara" w:eastAsia="Candara" w:hAnsi="Candara" w:cs="Candara"/>
          <w:b/>
          <w:bCs/>
          <w:sz w:val="24"/>
          <w:szCs w:val="24"/>
          <w:lang w:val="ms"/>
        </w:rPr>
      </w:pPr>
      <w:r w:rsidRPr="002F0A3A">
        <w:rPr>
          <w:rFonts w:ascii="Candara" w:eastAsia="Candara" w:hAnsi="Candara" w:cs="Candara"/>
          <w:b/>
          <w:bCs/>
          <w:sz w:val="24"/>
          <w:szCs w:val="24"/>
          <w:lang w:val="ms"/>
        </w:rPr>
        <w:t>Kritik Ibrāhīm Mu</w:t>
      </w:r>
      <w:r w:rsidRPr="002F0A3A">
        <w:rPr>
          <w:rFonts w:ascii="Calibri" w:eastAsia="Candara" w:hAnsi="Calibri" w:cs="Calibri"/>
          <w:b/>
          <w:bCs/>
          <w:sz w:val="24"/>
          <w:szCs w:val="24"/>
          <w:lang w:val="ms"/>
        </w:rPr>
        <w:t>ṣṭ</w:t>
      </w:r>
      <w:r w:rsidRPr="002F0A3A">
        <w:rPr>
          <w:rFonts w:ascii="Candara" w:eastAsia="Candara" w:hAnsi="Candara" w:cs="Candara"/>
          <w:b/>
          <w:bCs/>
          <w:sz w:val="24"/>
          <w:szCs w:val="24"/>
          <w:lang w:val="ms"/>
        </w:rPr>
        <w:t>afā terhadap Ilmu Nahwu Klasik</w:t>
      </w:r>
    </w:p>
    <w:p w14:paraId="06AEF270" w14:textId="461856E0"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 xml:space="preserve">afā adalah salah satu tokoh reformis dalam bidang ilmu nahwu yang dikenal melalui karya monumentalnya </w:t>
      </w:r>
      <w:r w:rsidRPr="002F0A3A">
        <w:rPr>
          <w:rFonts w:ascii="Candara" w:eastAsia="Candara" w:hAnsi="Candara" w:cs="Candara"/>
          <w:i/>
          <w:iCs/>
          <w:sz w:val="24"/>
          <w:szCs w:val="24"/>
          <w:lang w:val="ms"/>
        </w:rPr>
        <w:t>I</w:t>
      </w:r>
      <w:r w:rsidRPr="002F0A3A">
        <w:rPr>
          <w:rFonts w:ascii="Calibri" w:eastAsia="Candara" w:hAnsi="Calibri" w:cs="Calibri"/>
          <w:i/>
          <w:iCs/>
          <w:sz w:val="24"/>
          <w:szCs w:val="24"/>
          <w:lang w:val="ms"/>
        </w:rPr>
        <w:t>ḥ</w:t>
      </w:r>
      <w:r w:rsidRPr="002F0A3A">
        <w:rPr>
          <w:rFonts w:ascii="Candara" w:eastAsia="Candara" w:hAnsi="Candara" w:cs="Candara"/>
          <w:i/>
          <w:iCs/>
          <w:sz w:val="24"/>
          <w:szCs w:val="24"/>
          <w:lang w:val="ms"/>
        </w:rPr>
        <w:t>yā’ an-Na</w:t>
      </w:r>
      <w:r w:rsidRPr="002F0A3A">
        <w:rPr>
          <w:rFonts w:ascii="Calibri" w:eastAsia="Candara" w:hAnsi="Calibri" w:cs="Calibri"/>
          <w:i/>
          <w:iCs/>
          <w:sz w:val="24"/>
          <w:szCs w:val="24"/>
          <w:lang w:val="ms"/>
        </w:rPr>
        <w:t>ḥ</w:t>
      </w:r>
      <w:r w:rsidRPr="002F0A3A">
        <w:rPr>
          <w:rFonts w:ascii="Candara" w:eastAsia="Candara" w:hAnsi="Candara" w:cs="Candara"/>
          <w:i/>
          <w:iCs/>
          <w:sz w:val="24"/>
          <w:szCs w:val="24"/>
          <w:lang w:val="ms"/>
        </w:rPr>
        <w:t>wi</w:t>
      </w:r>
      <w:r w:rsidRPr="002F0A3A">
        <w:rPr>
          <w:rFonts w:ascii="Candara" w:eastAsia="Candara" w:hAnsi="Candara" w:cs="Candara"/>
          <w:sz w:val="24"/>
          <w:szCs w:val="24"/>
          <w:lang w:val="ms"/>
        </w:rPr>
        <w:t>. Ia hadir sebagai respon atas kompleksitas dan kekakuan sistem nahwu klasik yang selama berabad-abad menjadi acuan utama dalam pembelajaran bahasa Arab. Dalam pandangannya, sistem nahwu klasik terlalu berorientasi pada hafalan kaidah daripada pemahaman makna dan fungsionalitas bahasa. Kritiknya tidak sekadar pada aspek teknis, tetapi juga menyentuh akar epistemologis ilmu tersebut.</w:t>
      </w:r>
    </w:p>
    <w:p w14:paraId="00976FAF"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Salah satu fokus utama kritik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adalah pada teori ‘āmil yang menurutnya sangat abstrak dan tidak efektif dalam menjelaskan hubungan antar unsur dalam kalimat. Ia menilai bahwa banyaknya jenis ‘āmil yang dibuat oleh ulama terdahulu malah memperumit pemahaman struktur kalimat. Bahkan dalam praktiknya, teori ‘āmil ini seringkali hanya berupa asumsi (muqaddar) yang tidak memiliki kejelasan fungsional. Bagi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pendekatan seperti ini tidak relevan untuk digunakan dalam konteks pembelajaran modern yang menuntut kejelasan dan kemudahan.</w:t>
      </w:r>
    </w:p>
    <w:p w14:paraId="4CA43A81"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Selain itu,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afā juga mengkritik definisi ilmu nahwu klasik yang hanya membahas “akhir kata dalam kalimat.” Ia menganggap definisi ini terlalu sempit dan tidak mencerminkan realitas bahasa sebagai alat komunikasi. Oleh karena itu, ia menyarankan agar ilmu nahwu lebih menekankan pada relasi antar unsur kalimat, makna sintaksis, dan bagaimana bahasa itu digunakan secara aktual dalam berkomunikasi. Pendekatan ini memperlihatkan bahwa ia ingin menggeser ilmu nahwu dari tradisi tekstual ke arah yang lebih fungsional dan aplikatif.</w:t>
      </w:r>
    </w:p>
    <w:p w14:paraId="53654DF7" w14:textId="77777777" w:rsidR="002F0A3A" w:rsidRPr="002F0A3A" w:rsidRDefault="002F0A3A" w:rsidP="002F0A3A">
      <w:pPr>
        <w:ind w:firstLine="720"/>
        <w:jc w:val="both"/>
        <w:rPr>
          <w:rFonts w:ascii="Candara" w:eastAsia="Candara" w:hAnsi="Candara" w:cs="Candara"/>
          <w:sz w:val="24"/>
          <w:szCs w:val="24"/>
          <w:lang w:val="ms"/>
        </w:rPr>
      </w:pPr>
      <w:r w:rsidRPr="002F0A3A">
        <w:rPr>
          <w:rFonts w:ascii="Candara" w:eastAsia="Candara" w:hAnsi="Candara" w:cs="Candara"/>
          <w:sz w:val="24"/>
          <w:szCs w:val="24"/>
          <w:lang w:val="ms"/>
        </w:rPr>
        <w:t>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 xml:space="preserve">afā juga mengusulkan perubahan dalam sistematika pembelajaran nahwu. Ia menilai bahwa struktur bab dalam buku-buku nahwu klasik tidak sistematis dan membingungkan. </w:t>
      </w:r>
      <w:r w:rsidRPr="002F0A3A">
        <w:rPr>
          <w:rFonts w:ascii="Candara" w:eastAsia="Candara" w:hAnsi="Candara" w:cs="Candara"/>
          <w:sz w:val="24"/>
          <w:szCs w:val="24"/>
          <w:lang w:val="ms"/>
        </w:rPr>
        <w:fldChar w:fldCharType="begin"/>
      </w:r>
      <w:r w:rsidRPr="002F0A3A">
        <w:rPr>
          <w:rFonts w:ascii="Candara" w:eastAsia="Candara" w:hAnsi="Candara" w:cs="Candara"/>
          <w:sz w:val="24"/>
          <w:szCs w:val="24"/>
          <w:lang w:val="ms"/>
        </w:rPr>
        <w:instrText xml:space="preserve"> ADDIN ZOTERO_ITEM CSL_CITATION {"citationID":"MpCknWqm","properties":{"formattedCitation":"(Zubaidillah, 2018)","plainCitation":"(Zubaidillah, 2018)","noteIndex":0},"citationItems":[{"id":1959,"uris":["http://zotero.org/users/16580637/items/8PVTX8QS"],"itemData":{"id":1959,"type":"article","abstract":"PENGANTAR ILMU NAHWU BELAJAR BAHASA ARAB SAMPAI BISA","DOI":"10.31219/osf.io/gm5e7","language":"id","license":"https://creativecommons.org/licenses/by/4.0/legalcode","publisher":"Open Science Framework","source":"DOI.org (Crossref)","title":"Pengantar Ilmu Nahwu Belajar Bahasa Arab Sampai Bisa","URL":"https://osf.io/gm5e7","author":[{"family":"Zubaidillah","given":"Muh Haris"}],"accessed":{"date-parts":[["2025",4,18]]},"issued":{"date-parts":[["2018",7,22]]}}}],"schema":"https://github.com/citation-style-language/schema/raw/master/csl-citation.json"} </w:instrText>
      </w:r>
      <w:r w:rsidRPr="002F0A3A">
        <w:rPr>
          <w:rFonts w:ascii="Candara" w:eastAsia="Candara" w:hAnsi="Candara" w:cs="Candara"/>
          <w:sz w:val="24"/>
          <w:szCs w:val="24"/>
          <w:lang w:val="ms"/>
        </w:rPr>
        <w:fldChar w:fldCharType="separate"/>
      </w:r>
      <w:r w:rsidRPr="002F0A3A">
        <w:rPr>
          <w:rFonts w:ascii="Candara" w:eastAsia="Candara" w:hAnsi="Candara" w:cs="Candara"/>
          <w:sz w:val="24"/>
          <w:szCs w:val="24"/>
          <w:lang w:val="ms"/>
        </w:rPr>
        <w:t>(Zubaidillah, 2018)</w:t>
      </w:r>
      <w:r w:rsidRPr="002F0A3A">
        <w:rPr>
          <w:rFonts w:ascii="Candara" w:eastAsia="Candara" w:hAnsi="Candara" w:cs="Candara"/>
          <w:sz w:val="24"/>
          <w:szCs w:val="24"/>
          <w:lang w:val="da-DK"/>
        </w:rPr>
        <w:fldChar w:fldCharType="end"/>
      </w:r>
      <w:r w:rsidRPr="002F0A3A">
        <w:rPr>
          <w:rFonts w:ascii="Candara" w:eastAsia="Candara" w:hAnsi="Candara" w:cs="Candara"/>
          <w:sz w:val="24"/>
          <w:szCs w:val="24"/>
          <w:lang w:val="ms"/>
        </w:rPr>
        <w:t xml:space="preserve"> Oleh sebab itu, dalam </w:t>
      </w:r>
      <w:r w:rsidRPr="002F0A3A">
        <w:rPr>
          <w:rFonts w:ascii="Candara" w:eastAsia="Candara" w:hAnsi="Candara" w:cs="Candara"/>
          <w:i/>
          <w:iCs/>
          <w:sz w:val="24"/>
          <w:szCs w:val="24"/>
          <w:lang w:val="ms"/>
        </w:rPr>
        <w:t>I</w:t>
      </w:r>
      <w:r w:rsidRPr="002F0A3A">
        <w:rPr>
          <w:rFonts w:ascii="Calibri" w:eastAsia="Candara" w:hAnsi="Calibri" w:cs="Calibri"/>
          <w:i/>
          <w:iCs/>
          <w:sz w:val="24"/>
          <w:szCs w:val="24"/>
          <w:lang w:val="ms"/>
        </w:rPr>
        <w:t>ḥ</w:t>
      </w:r>
      <w:r w:rsidRPr="002F0A3A">
        <w:rPr>
          <w:rFonts w:ascii="Candara" w:eastAsia="Candara" w:hAnsi="Candara" w:cs="Candara"/>
          <w:i/>
          <w:iCs/>
          <w:sz w:val="24"/>
          <w:szCs w:val="24"/>
          <w:lang w:val="ms"/>
        </w:rPr>
        <w:t>yā’ an-Na</w:t>
      </w:r>
      <w:r w:rsidRPr="002F0A3A">
        <w:rPr>
          <w:rFonts w:ascii="Calibri" w:eastAsia="Candara" w:hAnsi="Calibri" w:cs="Calibri"/>
          <w:i/>
          <w:iCs/>
          <w:sz w:val="24"/>
          <w:szCs w:val="24"/>
          <w:lang w:val="ms"/>
        </w:rPr>
        <w:t>ḥ</w:t>
      </w:r>
      <w:r w:rsidRPr="002F0A3A">
        <w:rPr>
          <w:rFonts w:ascii="Candara" w:eastAsia="Candara" w:hAnsi="Candara" w:cs="Candara"/>
          <w:i/>
          <w:iCs/>
          <w:sz w:val="24"/>
          <w:szCs w:val="24"/>
          <w:lang w:val="ms"/>
        </w:rPr>
        <w:t>wi</w:t>
      </w:r>
      <w:r w:rsidRPr="002F0A3A">
        <w:rPr>
          <w:rFonts w:ascii="Candara" w:eastAsia="Candara" w:hAnsi="Candara" w:cs="Candara"/>
          <w:sz w:val="24"/>
          <w:szCs w:val="24"/>
          <w:lang w:val="ms"/>
        </w:rPr>
        <w:t>, ia merancang ulang penyajian materi dengan pendekatan yang lebih logis, ringkas, dan terstruktur, agar memudahkan pelajar memahami pola-pola gramatikal bahasa Arab. Hal ini sekaligus menunjukkan komitmennya dalam membumikan ilmu nahwu agar lebih membumi dan tidak hanya menjadi konsumsi akademik semata.</w:t>
      </w:r>
    </w:p>
    <w:p w14:paraId="706CDFA2" w14:textId="77777777" w:rsidR="002F0A3A" w:rsidRPr="002F0A3A" w:rsidRDefault="002F0A3A" w:rsidP="002F0A3A">
      <w:pPr>
        <w:ind w:firstLine="720"/>
        <w:jc w:val="both"/>
        <w:rPr>
          <w:rFonts w:ascii="Candara" w:eastAsia="Candara" w:hAnsi="Candara" w:cs="Candara"/>
          <w:sz w:val="24"/>
          <w:szCs w:val="24"/>
          <w:lang w:val="da-DK"/>
        </w:rPr>
      </w:pPr>
      <w:r w:rsidRPr="002F0A3A">
        <w:rPr>
          <w:rFonts w:ascii="Candara" w:eastAsia="Candara" w:hAnsi="Candara" w:cs="Candara"/>
          <w:sz w:val="24"/>
          <w:szCs w:val="24"/>
          <w:lang w:val="ms"/>
        </w:rPr>
        <w:lastRenderedPageBreak/>
        <w:t>Dalam hal tanda i’rab, Ibrāhīm Mu</w:t>
      </w:r>
      <w:r w:rsidRPr="002F0A3A">
        <w:rPr>
          <w:rFonts w:ascii="Calibri" w:eastAsia="Candara" w:hAnsi="Calibri" w:cs="Calibri"/>
          <w:sz w:val="24"/>
          <w:szCs w:val="24"/>
          <w:lang w:val="ms"/>
        </w:rPr>
        <w:t>ṣṭ</w:t>
      </w:r>
      <w:r w:rsidRPr="002F0A3A">
        <w:rPr>
          <w:rFonts w:ascii="Candara" w:eastAsia="Candara" w:hAnsi="Candara" w:cs="Candara"/>
          <w:sz w:val="24"/>
          <w:szCs w:val="24"/>
          <w:lang w:val="ms"/>
        </w:rPr>
        <w:t xml:space="preserve">afā bahkan menyatakan bahwa tidak semua harakat memiliki beban makna. Ia menolak fungsi fathah sebagai tanda i’rab karena dinilai tidak relevan secara semantik, dan hanya mengakui dammah dan kasrah sebagai tanda yang mencerminkan relasi makna. </w:t>
      </w:r>
      <w:r w:rsidRPr="002F0A3A">
        <w:rPr>
          <w:rFonts w:ascii="Candara" w:eastAsia="Candara" w:hAnsi="Candara" w:cs="Candara"/>
          <w:sz w:val="24"/>
          <w:szCs w:val="24"/>
          <w:lang w:val="da-DK"/>
        </w:rPr>
        <w:t>Pemikirannya ini menunjukkan orientasi pragmatis dan semantik dalam memandang struktur bahasa. Ia ingin agar setiap aspek dalam nahwu memiliki fungsi yang nyata dalam membantu proses komunikasi, bukan hanya sebagai teori linguistik yang membingungkan.</w:t>
      </w:r>
    </w:p>
    <w:p w14:paraId="1BCC4111" w14:textId="77777777" w:rsidR="002F0A3A" w:rsidRPr="002F0A3A" w:rsidRDefault="002F0A3A" w:rsidP="002F0A3A">
      <w:pPr>
        <w:ind w:firstLine="720"/>
        <w:jc w:val="both"/>
        <w:rPr>
          <w:rFonts w:ascii="Candara" w:eastAsia="Candara" w:hAnsi="Candara" w:cs="Candara"/>
          <w:sz w:val="24"/>
          <w:szCs w:val="24"/>
          <w:lang w:val="da-DK"/>
        </w:rPr>
      </w:pPr>
      <w:r w:rsidRPr="002F0A3A">
        <w:rPr>
          <w:rFonts w:ascii="Candara" w:eastAsia="Candara" w:hAnsi="Candara" w:cs="Candara"/>
          <w:sz w:val="24"/>
          <w:szCs w:val="24"/>
          <w:lang w:val="da-DK"/>
        </w:rPr>
        <w:t>Secara keseluruhan, kritik Ibrāhīm Mu</w:t>
      </w:r>
      <w:r w:rsidRPr="002F0A3A">
        <w:rPr>
          <w:rFonts w:ascii="Calibri" w:eastAsia="Candara" w:hAnsi="Calibri" w:cs="Calibri"/>
          <w:sz w:val="24"/>
          <w:szCs w:val="24"/>
          <w:lang w:val="da-DK"/>
        </w:rPr>
        <w:t>ṣṭ</w:t>
      </w:r>
      <w:r w:rsidRPr="002F0A3A">
        <w:rPr>
          <w:rFonts w:ascii="Candara" w:eastAsia="Candara" w:hAnsi="Candara" w:cs="Candara"/>
          <w:sz w:val="24"/>
          <w:szCs w:val="24"/>
          <w:lang w:val="da-DK"/>
        </w:rPr>
        <w:t>afā terhadap ilmu nahwu klasik bukanlah bentuk penolakan total terhadap warisan tradisi. Ia justru menunjukkan kepedulian terhadap keberlangsungan ilmu ini agar tetap relevan dan efektif di masa kini. Pendekatan kritis dan pembaruannya menjadi inspirasi penting dalam mengembangkan metode pembelajaran bahasa Arab yang lebih kontekstual dan komunikatif. Dengan menyelaraskan tradisi dan modernitas, pemikiran Ibrāhīm Mu</w:t>
      </w:r>
      <w:r w:rsidRPr="002F0A3A">
        <w:rPr>
          <w:rFonts w:ascii="Calibri" w:eastAsia="Candara" w:hAnsi="Calibri" w:cs="Calibri"/>
          <w:sz w:val="24"/>
          <w:szCs w:val="24"/>
          <w:lang w:val="da-DK"/>
        </w:rPr>
        <w:t>ṣṭ</w:t>
      </w:r>
      <w:r w:rsidRPr="002F0A3A">
        <w:rPr>
          <w:rFonts w:ascii="Candara" w:eastAsia="Candara" w:hAnsi="Candara" w:cs="Candara"/>
          <w:sz w:val="24"/>
          <w:szCs w:val="24"/>
          <w:lang w:val="da-DK"/>
        </w:rPr>
        <w:t>afā membuka jalan bagi transformasi ilmu nahwu menuju masa depan yang lebih cerah dan aplikatif.</w:t>
      </w:r>
    </w:p>
    <w:p w14:paraId="05E8DC5B" w14:textId="77777777" w:rsidR="002F0A3A" w:rsidRPr="002F0A3A" w:rsidRDefault="002F0A3A" w:rsidP="002F0A3A">
      <w:pPr>
        <w:jc w:val="both"/>
        <w:rPr>
          <w:rFonts w:ascii="Candara" w:eastAsia="Candara" w:hAnsi="Candara" w:cs="Candara"/>
          <w:sz w:val="24"/>
          <w:szCs w:val="24"/>
          <w:lang w:val="da-DK"/>
        </w:rPr>
      </w:pPr>
      <w:r w:rsidRPr="002F0A3A">
        <w:rPr>
          <w:rFonts w:ascii="Candara" w:eastAsia="Candara" w:hAnsi="Candara" w:cs="Candara"/>
          <w:b/>
          <w:bCs/>
          <w:sz w:val="24"/>
          <w:szCs w:val="24"/>
          <w:lang w:val="da-DK"/>
        </w:rPr>
        <w:t>Epistemologi Nahwu Modern: Gagasan dan Inovasi Ibrāhīm Mu</w:t>
      </w:r>
      <w:r w:rsidRPr="002F0A3A">
        <w:rPr>
          <w:rFonts w:ascii="Calibri" w:eastAsia="Candara" w:hAnsi="Calibri" w:cs="Calibri"/>
          <w:b/>
          <w:bCs/>
          <w:sz w:val="24"/>
          <w:szCs w:val="24"/>
          <w:lang w:val="da-DK"/>
        </w:rPr>
        <w:t>ṣṭ</w:t>
      </w:r>
      <w:r w:rsidRPr="002F0A3A">
        <w:rPr>
          <w:rFonts w:ascii="Candara" w:eastAsia="Candara" w:hAnsi="Candara" w:cs="Candara"/>
          <w:b/>
          <w:bCs/>
          <w:sz w:val="24"/>
          <w:szCs w:val="24"/>
          <w:lang w:val="da-DK"/>
        </w:rPr>
        <w:t>afā</w:t>
      </w:r>
    </w:p>
    <w:p w14:paraId="515A44DB" w14:textId="77777777" w:rsidR="002F0A3A" w:rsidRPr="002F0A3A" w:rsidRDefault="002F0A3A" w:rsidP="002F0A3A">
      <w:pPr>
        <w:ind w:firstLine="720"/>
        <w:jc w:val="both"/>
        <w:rPr>
          <w:rFonts w:ascii="Candara" w:eastAsia="Candara" w:hAnsi="Candara" w:cs="Candara"/>
          <w:sz w:val="24"/>
          <w:szCs w:val="24"/>
          <w:lang w:val="da-DK"/>
        </w:rPr>
      </w:pPr>
      <w:r w:rsidRPr="002F0A3A">
        <w:rPr>
          <w:rFonts w:ascii="Candara" w:eastAsia="Candara" w:hAnsi="Candara" w:cs="Candara"/>
          <w:sz w:val="24"/>
          <w:szCs w:val="24"/>
          <w:lang w:val="da-DK"/>
        </w:rPr>
        <w:t>Epistemologi nahwu modern yang dikembangkan oleh Ibrāhīm Mu</w:t>
      </w:r>
      <w:r w:rsidRPr="002F0A3A">
        <w:rPr>
          <w:rFonts w:ascii="Calibri" w:eastAsia="Candara" w:hAnsi="Calibri" w:cs="Calibri"/>
          <w:sz w:val="24"/>
          <w:szCs w:val="24"/>
          <w:lang w:val="da-DK"/>
        </w:rPr>
        <w:t>ṣṭ</w:t>
      </w:r>
      <w:r w:rsidRPr="002F0A3A">
        <w:rPr>
          <w:rFonts w:ascii="Candara" w:eastAsia="Candara" w:hAnsi="Candara" w:cs="Candara"/>
          <w:sz w:val="24"/>
          <w:szCs w:val="24"/>
          <w:lang w:val="da-DK"/>
        </w:rPr>
        <w:t>afā merupakan jawaban atas kebutuhan zaman yang menuntut pendekatan pembelajaran bahasa Arab yang lebih praktis dan fungsional. Ia berupaya untuk memindahkan fokus ilmu nahwu dari yang sebelumnya bersifat tekstual, rigid, dan teoretis ke arah yang lebih kontekstual, aplikatif, dan komunikatif. Gagasannya bukan hanya sebatas pembaharuan dalam metode, tetapi juga menyentuh cara berpikir dan landasan filosofis dari ilmu nahwu itu sendiri, menjadikannya lebih relevan dalam dunia pendidikan modern.</w:t>
      </w:r>
    </w:p>
    <w:p w14:paraId="0F106F70" w14:textId="77777777" w:rsidR="002F0A3A" w:rsidRPr="002F0A3A" w:rsidRDefault="002F0A3A" w:rsidP="002F0A3A">
      <w:pPr>
        <w:ind w:firstLine="720"/>
        <w:jc w:val="both"/>
        <w:rPr>
          <w:rFonts w:ascii="Candara" w:eastAsia="Candara" w:hAnsi="Candara" w:cs="Candara"/>
          <w:sz w:val="24"/>
          <w:szCs w:val="24"/>
          <w:lang w:val="da-DK"/>
        </w:rPr>
      </w:pPr>
      <w:r w:rsidRPr="002F0A3A">
        <w:rPr>
          <w:rFonts w:ascii="Candara" w:eastAsia="Candara" w:hAnsi="Candara" w:cs="Candara"/>
          <w:sz w:val="24"/>
          <w:szCs w:val="24"/>
          <w:lang w:val="da-DK"/>
        </w:rPr>
        <w:t>Salah satu ide sentral dalam pembaharuan Ibrāhīm Mu</w:t>
      </w:r>
      <w:r w:rsidRPr="002F0A3A">
        <w:rPr>
          <w:rFonts w:ascii="Calibri" w:eastAsia="Candara" w:hAnsi="Calibri" w:cs="Calibri"/>
          <w:sz w:val="24"/>
          <w:szCs w:val="24"/>
          <w:lang w:val="da-DK"/>
        </w:rPr>
        <w:t>ṣṭ</w:t>
      </w:r>
      <w:r w:rsidRPr="002F0A3A">
        <w:rPr>
          <w:rFonts w:ascii="Candara" w:eastAsia="Candara" w:hAnsi="Candara" w:cs="Candara"/>
          <w:sz w:val="24"/>
          <w:szCs w:val="24"/>
          <w:lang w:val="da-DK"/>
        </w:rPr>
        <w:t>afā adalah redefinisi terhadap fungsi i’rab dalam struktur kalimat. Ia menolak anggapan bahwa i’rab harus selalu dikaitkan dengan teori ‘āmil yang rumit, sebagaimana dalam nahwu klasik. Sebaliknya, ia menekankan bahwa i’rab seharusnya dilihat dari fungsinya dalam menyampaikan makna dalam kalimat. Misalnya, dammah bisa merepresentasikan subjek (isnād), sedangkan kasrah merepresentasikan hubungan i</w:t>
      </w:r>
      <w:r w:rsidRPr="002F0A3A">
        <w:rPr>
          <w:rFonts w:ascii="Calibri" w:eastAsia="Candara" w:hAnsi="Calibri" w:cs="Calibri"/>
          <w:sz w:val="24"/>
          <w:szCs w:val="24"/>
          <w:lang w:val="da-DK"/>
        </w:rPr>
        <w:t>ḍ</w:t>
      </w:r>
      <w:r w:rsidRPr="002F0A3A">
        <w:rPr>
          <w:rFonts w:ascii="Candara" w:eastAsia="Candara" w:hAnsi="Candara" w:cs="Candara"/>
          <w:sz w:val="24"/>
          <w:szCs w:val="24"/>
          <w:lang w:val="da-DK"/>
        </w:rPr>
        <w:t>āfah. Gagasan ini menandakan pergeseran cara pandang dari pendekatan formalistik ke pendekatan fungsional.</w:t>
      </w:r>
    </w:p>
    <w:p w14:paraId="048FC20E" w14:textId="77777777" w:rsidR="002F0A3A" w:rsidRPr="002F0A3A" w:rsidRDefault="002F0A3A" w:rsidP="002F0A3A">
      <w:pPr>
        <w:ind w:firstLine="720"/>
        <w:jc w:val="both"/>
        <w:rPr>
          <w:rFonts w:ascii="Candara" w:eastAsia="Candara" w:hAnsi="Candara" w:cs="Candara"/>
          <w:sz w:val="24"/>
          <w:szCs w:val="24"/>
          <w:lang w:val="da-DK"/>
        </w:rPr>
      </w:pPr>
      <w:r w:rsidRPr="002F0A3A">
        <w:rPr>
          <w:rFonts w:ascii="Candara" w:eastAsia="Candara" w:hAnsi="Candara" w:cs="Candara"/>
          <w:sz w:val="24"/>
          <w:szCs w:val="24"/>
          <w:lang w:val="da-DK"/>
        </w:rPr>
        <w:t>Tidak hanya itu, Ibrāhīm Mu</w:t>
      </w:r>
      <w:r w:rsidRPr="002F0A3A">
        <w:rPr>
          <w:rFonts w:ascii="Calibri" w:eastAsia="Candara" w:hAnsi="Calibri" w:cs="Calibri"/>
          <w:sz w:val="24"/>
          <w:szCs w:val="24"/>
          <w:lang w:val="da-DK"/>
        </w:rPr>
        <w:t>ṣṭ</w:t>
      </w:r>
      <w:r w:rsidRPr="002F0A3A">
        <w:rPr>
          <w:rFonts w:ascii="Candara" w:eastAsia="Candara" w:hAnsi="Candara" w:cs="Candara"/>
          <w:sz w:val="24"/>
          <w:szCs w:val="24"/>
          <w:lang w:val="da-DK"/>
        </w:rPr>
        <w:t xml:space="preserve">afā juga berani melakukan perubahan pada sistematika pembagian kalimat dan unsur-unsurnya. Ia mengganti istilah klasik seperti mubtada’ dan khabar dengan istilah baru yang lebih bersifat sintaksis, yaitu musnad ilaih dan musnad. Tujuannya bukan hanya mengganti istilah, tetapi juga membentuk cara pandang baru terhadap struktur kalimat yang menekankan pada hubungan predikatif dan logika makna. Ini menjadi salah satu inovasi yang penting karena memperlihatkan orientasi linguistik modern dalam memahami bahasa Arab. </w:t>
      </w:r>
      <w:r w:rsidRPr="002F0A3A">
        <w:rPr>
          <w:rFonts w:ascii="Candara" w:eastAsia="Candara" w:hAnsi="Candara" w:cs="Candara"/>
          <w:sz w:val="24"/>
          <w:szCs w:val="24"/>
          <w:lang w:val="da-DK"/>
        </w:rPr>
        <w:fldChar w:fldCharType="begin"/>
      </w:r>
      <w:r w:rsidRPr="002F0A3A">
        <w:rPr>
          <w:rFonts w:ascii="Candara" w:eastAsia="Candara" w:hAnsi="Candara" w:cs="Candara"/>
          <w:sz w:val="24"/>
          <w:szCs w:val="24"/>
          <w:lang w:val="da-DK"/>
        </w:rPr>
        <w:instrText xml:space="preserve"> ADDIN ZOTERO_ITEM CSL_CITATION {"citationID":"uZ8l0Rdx","properties":{"formattedCitation":"(Salim, 2017)","plainCitation":"(Salim, 2017)","noteIndex":0},"citationItems":[{"id":1955,"uris":["http://zotero.org/users/16580637/items/MWGGZSA2"],"itemData":{"id":1955,"type":"article-journal","container-title":"Diwan : Jurnal Bahasa dan Sastra Arab","DOI":"10.24252/diwan.v3i1.2928","ISSN":"2598-6171, 2503-0647","issue":"1","journalAbbreviation":"Diwan","language":"id","page":"77","source":"DOI.org (Crossref)","title":"Sejarah Pertumbuha dan Perkembangan Bahasa Arab","volume":"3","author":[{"family":"Salim","given":"Latifah"}],"issued":{"date-parts":[["2017",7,20]]}}}],"schema":"https://github.com/citation-style-language/schema/raw/master/csl-citation.json"} </w:instrText>
      </w:r>
      <w:r w:rsidRPr="002F0A3A">
        <w:rPr>
          <w:rFonts w:ascii="Candara" w:eastAsia="Candara" w:hAnsi="Candara" w:cs="Candara"/>
          <w:sz w:val="24"/>
          <w:szCs w:val="24"/>
          <w:lang w:val="da-DK"/>
        </w:rPr>
        <w:fldChar w:fldCharType="separate"/>
      </w:r>
      <w:r w:rsidRPr="002F0A3A">
        <w:rPr>
          <w:rFonts w:ascii="Candara" w:eastAsia="Candara" w:hAnsi="Candara" w:cs="Candara"/>
          <w:sz w:val="24"/>
          <w:szCs w:val="24"/>
          <w:lang w:val="da-DK"/>
        </w:rPr>
        <w:t>(Salim, 2017)</w:t>
      </w:r>
      <w:r w:rsidRPr="002F0A3A">
        <w:rPr>
          <w:rFonts w:ascii="Candara" w:eastAsia="Candara" w:hAnsi="Candara" w:cs="Candara"/>
          <w:sz w:val="24"/>
          <w:szCs w:val="24"/>
          <w:lang w:val="da-DK"/>
        </w:rPr>
        <w:fldChar w:fldCharType="end"/>
      </w:r>
    </w:p>
    <w:p w14:paraId="1A144690" w14:textId="77777777" w:rsidR="002F0A3A" w:rsidRPr="002F0A3A" w:rsidRDefault="002F0A3A" w:rsidP="002F0A3A">
      <w:pPr>
        <w:ind w:firstLine="720"/>
        <w:jc w:val="both"/>
        <w:rPr>
          <w:rFonts w:ascii="Candara" w:eastAsia="Candara" w:hAnsi="Candara" w:cs="Candara"/>
          <w:sz w:val="24"/>
          <w:szCs w:val="24"/>
          <w:lang w:val="da-DK"/>
        </w:rPr>
      </w:pPr>
      <w:r w:rsidRPr="002F0A3A">
        <w:rPr>
          <w:rFonts w:ascii="Candara" w:eastAsia="Candara" w:hAnsi="Candara" w:cs="Candara"/>
          <w:sz w:val="24"/>
          <w:szCs w:val="24"/>
          <w:lang w:val="da-DK"/>
        </w:rPr>
        <w:t>Inovasi lain yang diperkenalkan oleh Ibrāhīm Mu</w:t>
      </w:r>
      <w:r w:rsidRPr="002F0A3A">
        <w:rPr>
          <w:rFonts w:ascii="Calibri" w:eastAsia="Candara" w:hAnsi="Calibri" w:cs="Calibri"/>
          <w:sz w:val="24"/>
          <w:szCs w:val="24"/>
          <w:lang w:val="da-DK"/>
        </w:rPr>
        <w:t>ṣṭ</w:t>
      </w:r>
      <w:r w:rsidRPr="002F0A3A">
        <w:rPr>
          <w:rFonts w:ascii="Candara" w:eastAsia="Candara" w:hAnsi="Candara" w:cs="Candara"/>
          <w:sz w:val="24"/>
          <w:szCs w:val="24"/>
          <w:lang w:val="da-DK"/>
        </w:rPr>
        <w:t>afā adalah peninjauan kembali terhadap konsep tawābi</w:t>
      </w:r>
      <w:r w:rsidRPr="002F0A3A">
        <w:rPr>
          <w:rFonts w:ascii="Arial" w:eastAsia="Candara" w:hAnsi="Arial" w:cs="Arial"/>
          <w:sz w:val="24"/>
          <w:szCs w:val="24"/>
          <w:lang w:val="da-DK"/>
        </w:rPr>
        <w:t>ʻ</w:t>
      </w:r>
      <w:r w:rsidRPr="002F0A3A">
        <w:rPr>
          <w:rFonts w:ascii="Candara" w:eastAsia="Candara" w:hAnsi="Candara" w:cs="Candara"/>
          <w:sz w:val="24"/>
          <w:szCs w:val="24"/>
          <w:lang w:val="da-DK"/>
        </w:rPr>
        <w:t>, khususnya pada aspek ‘a</w:t>
      </w:r>
      <w:r w:rsidRPr="002F0A3A">
        <w:rPr>
          <w:rFonts w:ascii="Calibri" w:eastAsia="Candara" w:hAnsi="Calibri" w:cs="Calibri"/>
          <w:sz w:val="24"/>
          <w:szCs w:val="24"/>
          <w:lang w:val="da-DK"/>
        </w:rPr>
        <w:t>ṭ</w:t>
      </w:r>
      <w:r w:rsidRPr="002F0A3A">
        <w:rPr>
          <w:rFonts w:ascii="Candara" w:eastAsia="Candara" w:hAnsi="Candara" w:cs="Candara"/>
          <w:sz w:val="24"/>
          <w:szCs w:val="24"/>
          <w:lang w:val="da-DK"/>
        </w:rPr>
        <w:t>af. Dalam nahwu klasik, ‘a</w:t>
      </w:r>
      <w:r w:rsidRPr="002F0A3A">
        <w:rPr>
          <w:rFonts w:ascii="Calibri" w:eastAsia="Candara" w:hAnsi="Calibri" w:cs="Calibri"/>
          <w:sz w:val="24"/>
          <w:szCs w:val="24"/>
          <w:lang w:val="da-DK"/>
        </w:rPr>
        <w:t>ṭ</w:t>
      </w:r>
      <w:r w:rsidRPr="002F0A3A">
        <w:rPr>
          <w:rFonts w:ascii="Candara" w:eastAsia="Candara" w:hAnsi="Candara" w:cs="Candara"/>
          <w:sz w:val="24"/>
          <w:szCs w:val="24"/>
          <w:lang w:val="da-DK"/>
        </w:rPr>
        <w:t>af digolongkan sebagai kata pengikut. Namun, Mu</w:t>
      </w:r>
      <w:r w:rsidRPr="002F0A3A">
        <w:rPr>
          <w:rFonts w:ascii="Calibri" w:eastAsia="Candara" w:hAnsi="Calibri" w:cs="Calibri"/>
          <w:sz w:val="24"/>
          <w:szCs w:val="24"/>
          <w:lang w:val="da-DK"/>
        </w:rPr>
        <w:t>ṣṭ</w:t>
      </w:r>
      <w:r w:rsidRPr="002F0A3A">
        <w:rPr>
          <w:rFonts w:ascii="Candara" w:eastAsia="Candara" w:hAnsi="Candara" w:cs="Candara"/>
          <w:sz w:val="24"/>
          <w:szCs w:val="24"/>
          <w:lang w:val="da-DK"/>
        </w:rPr>
        <w:t>afā memandang bahwa secara struktur, ‘a</w:t>
      </w:r>
      <w:r w:rsidRPr="002F0A3A">
        <w:rPr>
          <w:rFonts w:ascii="Calibri" w:eastAsia="Candara" w:hAnsi="Calibri" w:cs="Calibri"/>
          <w:sz w:val="24"/>
          <w:szCs w:val="24"/>
          <w:lang w:val="da-DK"/>
        </w:rPr>
        <w:t>ṭ</w:t>
      </w:r>
      <w:r w:rsidRPr="002F0A3A">
        <w:rPr>
          <w:rFonts w:ascii="Candara" w:eastAsia="Candara" w:hAnsi="Candara" w:cs="Candara"/>
          <w:sz w:val="24"/>
          <w:szCs w:val="24"/>
          <w:lang w:val="da-DK"/>
        </w:rPr>
        <w:t>af sebenarnya memiliki kemandirian karena bisa berdiri sejajar dengan ma’</w:t>
      </w:r>
      <w:r w:rsidRPr="002F0A3A">
        <w:rPr>
          <w:rFonts w:ascii="Calibri" w:eastAsia="Candara" w:hAnsi="Calibri" w:cs="Calibri"/>
          <w:sz w:val="24"/>
          <w:szCs w:val="24"/>
          <w:lang w:val="da-DK"/>
        </w:rPr>
        <w:t>ṭ</w:t>
      </w:r>
      <w:r w:rsidRPr="002F0A3A">
        <w:rPr>
          <w:rFonts w:ascii="Candara" w:eastAsia="Candara" w:hAnsi="Candara" w:cs="Candara"/>
          <w:sz w:val="24"/>
          <w:szCs w:val="24"/>
          <w:lang w:val="da-DK"/>
        </w:rPr>
        <w:t>ūf ‘alaih. Pandangan ini menunjukkan bahwa Mu</w:t>
      </w:r>
      <w:r w:rsidRPr="002F0A3A">
        <w:rPr>
          <w:rFonts w:ascii="Calibri" w:eastAsia="Candara" w:hAnsi="Calibri" w:cs="Calibri"/>
          <w:sz w:val="24"/>
          <w:szCs w:val="24"/>
          <w:lang w:val="da-DK"/>
        </w:rPr>
        <w:t>ṣṭ</w:t>
      </w:r>
      <w:r w:rsidRPr="002F0A3A">
        <w:rPr>
          <w:rFonts w:ascii="Candara" w:eastAsia="Candara" w:hAnsi="Candara" w:cs="Candara"/>
          <w:sz w:val="24"/>
          <w:szCs w:val="24"/>
          <w:lang w:val="da-DK"/>
        </w:rPr>
        <w:t>afā tidak hanya mengikuti kerangka tradisional, tetapi juga mengevaluasi secara kritis relasi antar unsur dalam kalimat berdasarkan fungsi komunikatif dan keterkaitan logis.</w:t>
      </w:r>
    </w:p>
    <w:p w14:paraId="0A47EAD4" w14:textId="77777777" w:rsidR="002F0A3A" w:rsidRDefault="002F0A3A" w:rsidP="002F0A3A">
      <w:pPr>
        <w:ind w:firstLine="720"/>
        <w:jc w:val="both"/>
        <w:rPr>
          <w:rFonts w:ascii="Candara" w:eastAsia="Candara" w:hAnsi="Candara" w:cs="Candara"/>
          <w:sz w:val="24"/>
          <w:szCs w:val="24"/>
          <w:lang w:val="da-DK"/>
        </w:rPr>
      </w:pPr>
    </w:p>
    <w:p w14:paraId="534D5115" w14:textId="77777777" w:rsidR="002F0A3A" w:rsidRDefault="002F0A3A" w:rsidP="002F0A3A">
      <w:pPr>
        <w:ind w:firstLine="720"/>
        <w:jc w:val="both"/>
        <w:rPr>
          <w:rFonts w:ascii="Candara" w:eastAsia="Candara" w:hAnsi="Candara" w:cs="Candara"/>
          <w:sz w:val="24"/>
          <w:szCs w:val="24"/>
          <w:lang w:val="da-DK"/>
        </w:rPr>
      </w:pPr>
    </w:p>
    <w:p w14:paraId="3F0FDDD0" w14:textId="77777777" w:rsidR="002F0A3A" w:rsidRDefault="002F0A3A" w:rsidP="002F0A3A">
      <w:pPr>
        <w:ind w:firstLine="720"/>
        <w:jc w:val="both"/>
        <w:rPr>
          <w:rFonts w:ascii="Candara" w:eastAsia="Candara" w:hAnsi="Candara" w:cs="Candara"/>
          <w:sz w:val="24"/>
          <w:szCs w:val="24"/>
          <w:lang w:val="da-DK"/>
        </w:rPr>
      </w:pPr>
    </w:p>
    <w:p w14:paraId="1EDA5E13" w14:textId="77777777" w:rsidR="002F0A3A" w:rsidRDefault="002F0A3A" w:rsidP="002F0A3A">
      <w:pPr>
        <w:ind w:firstLine="720"/>
        <w:jc w:val="both"/>
        <w:rPr>
          <w:rFonts w:ascii="Candara" w:eastAsia="Candara" w:hAnsi="Candara" w:cs="Candara"/>
          <w:sz w:val="24"/>
          <w:szCs w:val="24"/>
          <w:lang w:val="da-DK"/>
        </w:rPr>
      </w:pPr>
    </w:p>
    <w:p w14:paraId="16E3D3FD" w14:textId="5EBD4A5B" w:rsidR="002F0A3A" w:rsidRPr="002F0A3A" w:rsidRDefault="002F0A3A" w:rsidP="002F0A3A">
      <w:pPr>
        <w:ind w:firstLine="720"/>
        <w:jc w:val="both"/>
        <w:rPr>
          <w:rFonts w:ascii="Candara" w:eastAsia="Candara" w:hAnsi="Candara" w:cs="Candara"/>
          <w:sz w:val="24"/>
          <w:szCs w:val="24"/>
          <w:lang w:val="da-DK"/>
        </w:rPr>
      </w:pPr>
      <w:r w:rsidRPr="002F0A3A">
        <w:rPr>
          <w:rFonts w:ascii="Candara" w:eastAsia="Candara" w:hAnsi="Candara" w:cs="Candara"/>
          <w:sz w:val="24"/>
          <w:szCs w:val="24"/>
          <w:lang w:val="da-DK"/>
        </w:rPr>
        <w:lastRenderedPageBreak/>
        <w:t>Dari segi metode, Ibrāhīm Mu</w:t>
      </w:r>
      <w:r w:rsidRPr="002F0A3A">
        <w:rPr>
          <w:rFonts w:ascii="Calibri" w:eastAsia="Candara" w:hAnsi="Calibri" w:cs="Calibri"/>
          <w:sz w:val="24"/>
          <w:szCs w:val="24"/>
          <w:lang w:val="da-DK"/>
        </w:rPr>
        <w:t>ṣṭ</w:t>
      </w:r>
      <w:r w:rsidRPr="002F0A3A">
        <w:rPr>
          <w:rFonts w:ascii="Candara" w:eastAsia="Candara" w:hAnsi="Candara" w:cs="Candara"/>
          <w:sz w:val="24"/>
          <w:szCs w:val="24"/>
          <w:lang w:val="da-DK"/>
        </w:rPr>
        <w:t xml:space="preserve">afā mengusulkan pembelajaran nahwu dengan pendekatan </w:t>
      </w:r>
      <w:r w:rsidRPr="002F0A3A">
        <w:rPr>
          <w:rFonts w:ascii="Candara" w:eastAsia="Candara" w:hAnsi="Candara" w:cs="Candara"/>
          <w:i/>
          <w:iCs/>
          <w:sz w:val="24"/>
          <w:szCs w:val="24"/>
          <w:lang w:val="da-DK"/>
        </w:rPr>
        <w:t>tan</w:t>
      </w:r>
      <w:r w:rsidRPr="002F0A3A">
        <w:rPr>
          <w:rFonts w:ascii="Calibri" w:eastAsia="Candara" w:hAnsi="Calibri" w:cs="Calibri"/>
          <w:i/>
          <w:iCs/>
          <w:sz w:val="24"/>
          <w:szCs w:val="24"/>
          <w:lang w:val="da-DK"/>
        </w:rPr>
        <w:t>ẓ</w:t>
      </w:r>
      <w:r w:rsidRPr="002F0A3A">
        <w:rPr>
          <w:rFonts w:ascii="Candara" w:eastAsia="Candara" w:hAnsi="Candara" w:cs="Candara"/>
          <w:i/>
          <w:iCs/>
          <w:sz w:val="24"/>
          <w:szCs w:val="24"/>
          <w:lang w:val="da-DK"/>
        </w:rPr>
        <w:t>īriyyah</w:t>
      </w:r>
      <w:r w:rsidRPr="002F0A3A">
        <w:rPr>
          <w:rFonts w:ascii="Candara" w:eastAsia="Candara" w:hAnsi="Candara" w:cs="Candara"/>
          <w:sz w:val="24"/>
          <w:szCs w:val="24"/>
          <w:lang w:val="da-DK"/>
        </w:rPr>
        <w:t xml:space="preserve"> (teoritis) dan </w:t>
      </w:r>
      <w:r w:rsidRPr="002F0A3A">
        <w:rPr>
          <w:rFonts w:ascii="Candara" w:eastAsia="Candara" w:hAnsi="Candara" w:cs="Candara"/>
          <w:i/>
          <w:iCs/>
          <w:sz w:val="24"/>
          <w:szCs w:val="24"/>
          <w:lang w:val="da-DK"/>
        </w:rPr>
        <w:t>ta</w:t>
      </w:r>
      <w:r w:rsidRPr="002F0A3A">
        <w:rPr>
          <w:rFonts w:ascii="Calibri" w:eastAsia="Candara" w:hAnsi="Calibri" w:cs="Calibri"/>
          <w:i/>
          <w:iCs/>
          <w:sz w:val="24"/>
          <w:szCs w:val="24"/>
          <w:lang w:val="da-DK"/>
        </w:rPr>
        <w:t>ṭ</w:t>
      </w:r>
      <w:r w:rsidRPr="002F0A3A">
        <w:rPr>
          <w:rFonts w:ascii="Candara" w:eastAsia="Candara" w:hAnsi="Candara" w:cs="Candara"/>
          <w:i/>
          <w:iCs/>
          <w:sz w:val="24"/>
          <w:szCs w:val="24"/>
          <w:lang w:val="da-DK"/>
        </w:rPr>
        <w:t>bīqiyyah</w:t>
      </w:r>
      <w:r w:rsidRPr="002F0A3A">
        <w:rPr>
          <w:rFonts w:ascii="Candara" w:eastAsia="Candara" w:hAnsi="Candara" w:cs="Candara"/>
          <w:sz w:val="24"/>
          <w:szCs w:val="24"/>
          <w:lang w:val="da-DK"/>
        </w:rPr>
        <w:t xml:space="preserve"> (praktis). Artinya, selain memahami teori, siswa juga diajak untuk langsung menerapkannya dalam penggunaan bahasa sehari-hari. Hal ini dilakukan agar pembelajaran tidak hanya terjebak pada kaidah dan istilah, tetapi benar-benar mampu mengasah kemampuan berbahasa secara fungsional. Konsep ini sangat sesuai dengan paradigma pendidikan modern yang menekankan pembelajaran aktif, kontekstual, dan berbasis makna.</w:t>
      </w:r>
    </w:p>
    <w:p w14:paraId="3D4843F0" w14:textId="77777777" w:rsidR="002F0A3A" w:rsidRPr="002F0A3A" w:rsidRDefault="002F0A3A" w:rsidP="002F0A3A">
      <w:pPr>
        <w:ind w:firstLine="720"/>
        <w:jc w:val="both"/>
        <w:rPr>
          <w:rFonts w:ascii="Candara" w:eastAsia="Candara" w:hAnsi="Candara" w:cs="Candara"/>
          <w:sz w:val="24"/>
          <w:szCs w:val="24"/>
          <w:lang w:val="da-DK"/>
        </w:rPr>
      </w:pPr>
      <w:r w:rsidRPr="002F0A3A">
        <w:rPr>
          <w:rFonts w:ascii="Candara" w:eastAsia="Candara" w:hAnsi="Candara" w:cs="Candara"/>
          <w:sz w:val="24"/>
          <w:szCs w:val="24"/>
          <w:lang w:val="da-DK"/>
        </w:rPr>
        <w:t>Secara keseluruhan, epistemologi nahwu modern versi Ibrāhīm Mu</w:t>
      </w:r>
      <w:r w:rsidRPr="002F0A3A">
        <w:rPr>
          <w:rFonts w:ascii="Calibri" w:eastAsia="Candara" w:hAnsi="Calibri" w:cs="Calibri"/>
          <w:sz w:val="24"/>
          <w:szCs w:val="24"/>
          <w:lang w:val="da-DK"/>
        </w:rPr>
        <w:t>ṣṭ</w:t>
      </w:r>
      <w:r w:rsidRPr="002F0A3A">
        <w:rPr>
          <w:rFonts w:ascii="Candara" w:eastAsia="Candara" w:hAnsi="Candara" w:cs="Candara"/>
          <w:sz w:val="24"/>
          <w:szCs w:val="24"/>
          <w:lang w:val="da-DK"/>
        </w:rPr>
        <w:t>afā adalah usaha merombak cara pandang lama terhadap ilmu bahasa Arab, dengan tetap menghargai warisan klasik. Ia mencoba memodernisasi ilmu nahwu tanpa menghapus akar tradisinya. Dengan pendekatan yang lebih sederhana, rasional, dan komunikatif, Ibrāhīm Mu</w:t>
      </w:r>
      <w:r w:rsidRPr="002F0A3A">
        <w:rPr>
          <w:rFonts w:ascii="Calibri" w:eastAsia="Candara" w:hAnsi="Calibri" w:cs="Calibri"/>
          <w:sz w:val="24"/>
          <w:szCs w:val="24"/>
          <w:lang w:val="da-DK"/>
        </w:rPr>
        <w:t>ṣṭ</w:t>
      </w:r>
      <w:r w:rsidRPr="002F0A3A">
        <w:rPr>
          <w:rFonts w:ascii="Candara" w:eastAsia="Candara" w:hAnsi="Candara" w:cs="Candara"/>
          <w:sz w:val="24"/>
          <w:szCs w:val="24"/>
          <w:lang w:val="da-DK"/>
        </w:rPr>
        <w:t xml:space="preserve">afā berhasil membentuk model nahwu yang lebih mudah dipahami dan relevan untuk diterapkan dalam pendidikan masa kini. </w:t>
      </w:r>
      <w:r w:rsidRPr="002F0A3A">
        <w:rPr>
          <w:rFonts w:ascii="Candara" w:eastAsia="Candara" w:hAnsi="Candara" w:cs="Candara"/>
          <w:sz w:val="24"/>
          <w:szCs w:val="24"/>
          <w:lang w:val="da-DK"/>
        </w:rPr>
        <w:fldChar w:fldCharType="begin"/>
      </w:r>
      <w:r w:rsidRPr="002F0A3A">
        <w:rPr>
          <w:rFonts w:ascii="Candara" w:eastAsia="Candara" w:hAnsi="Candara" w:cs="Candara"/>
          <w:sz w:val="24"/>
          <w:szCs w:val="24"/>
          <w:lang w:val="da-DK"/>
        </w:rPr>
        <w:instrText xml:space="preserve"> ADDIN ZOTERO_ITEM CSL_CITATION {"citationID":"949WcXuz","properties":{"formattedCitation":"(Anwar, 2021)","plainCitation":"(Anwar, 2021)","noteIndex":0},"citationItems":[{"id":1937,"uris":["http://zotero.org/users/16580637/items/JNL27Z54"],"itemData":{"id":1937,"type":"article-journal","abstract":"Nahwu Sufi is the nahwu book by Imam al-Qusyairi whose writing seems unique and interesting to be studied more deeply. Imam al-Qusyairi tries to combine two disciplines, namely nahwu and tasawuf. But in this case Imam al-Qusyairi gave a new color to the Islamic discipline. In this book, nahw al-Qulub begins with an explanation of tauhid or affirmation to God, then the exoteric meaning of the word (zahir) is explained, which then explains the meaning of the word according to the perspective of Sufi scholars, namely esoterik (inner). In the book Nahwul Qulub explains how humans get closer to the Creator, human spiritual journey, and provides an overview of the state and life in this world towards eternal life. This type of library research or library research, which takes several sources of data from various theories in the literature. The result of this research is that Imam alQusyairi gives an idea that the elements of Sufism can be incorporated into various kinds of other sciences and there is no conflict whatsoever between Sufism and other sciences. With the presence of Nahwu Sufi this is not to eliminate nahwu in general, but with the existence of this Sufi nahwu, it gives a new color to nahwu science so that learners can learn it more enthusiastically. In this book Nahwul Qulub teaches us about ethics in life, teaches how to clean ourselves, heart and mind and get closer to or worship God. It also teaches us to always organize our hearts, words, attitudes and actions in daily life, so that everything we do is in accordance with the guidance of religious shari'ah.","container-title":"Tsaqofiya : Jurnal Pendidikan Bahasa dan Sastra Arab","DOI":"10.21154/tsaqofiya.v3i2.74","ISSN":"2685-7103, 2685-7022","issue":"2","journalAbbreviation":"JT","language":"id","page":"158-175","source":"DOI.org (Crossref)","title":"Nahwu Sufistik: Kajian Tasawwuf dalam Kitab Nahw Al-Qulub Karya Imam Al-Qusyairi","title-short":"Nahwu Sufistik","volume":"3","author":[{"family":"Anwar","given":"Khaerul"}],"issued":{"date-parts":[["2021",7,31]]}}}],"schema":"https://github.com/citation-style-language/schema/raw/master/csl-citation.json"} </w:instrText>
      </w:r>
      <w:r w:rsidRPr="002F0A3A">
        <w:rPr>
          <w:rFonts w:ascii="Candara" w:eastAsia="Candara" w:hAnsi="Candara" w:cs="Candara"/>
          <w:sz w:val="24"/>
          <w:szCs w:val="24"/>
          <w:lang w:val="da-DK"/>
        </w:rPr>
        <w:fldChar w:fldCharType="separate"/>
      </w:r>
      <w:r w:rsidRPr="002F0A3A">
        <w:rPr>
          <w:rFonts w:ascii="Candara" w:eastAsia="Candara" w:hAnsi="Candara" w:cs="Candara"/>
          <w:sz w:val="24"/>
          <w:szCs w:val="24"/>
          <w:lang w:val="da-DK"/>
        </w:rPr>
        <w:t>(Anwar, 2021)</w:t>
      </w:r>
      <w:r w:rsidRPr="002F0A3A">
        <w:rPr>
          <w:rFonts w:ascii="Candara" w:eastAsia="Candara" w:hAnsi="Candara" w:cs="Candara"/>
          <w:sz w:val="24"/>
          <w:szCs w:val="24"/>
          <w:lang w:val="da-DK"/>
        </w:rPr>
        <w:fldChar w:fldCharType="end"/>
      </w:r>
      <w:r w:rsidRPr="002F0A3A">
        <w:rPr>
          <w:rFonts w:ascii="Candara" w:eastAsia="Candara" w:hAnsi="Candara" w:cs="Candara"/>
          <w:sz w:val="24"/>
          <w:szCs w:val="24"/>
          <w:lang w:val="da-DK"/>
        </w:rPr>
        <w:t xml:space="preserve"> Pemikirannya menjadi tonggak penting dalam perkembangan linguistik Arab modern yang berorientasi pada keberfungsian dan efisiensi bahasa sebagai alat komunikasi. Berikut adalah tabel penjelasan terkait hasil dan pembahasan ini:</w:t>
      </w:r>
    </w:p>
    <w:p w14:paraId="471A1019" w14:textId="18631C6A" w:rsidR="0085200C" w:rsidRDefault="0085200C" w:rsidP="00B94D36">
      <w:pPr>
        <w:ind w:firstLine="720"/>
        <w:jc w:val="both"/>
        <w:rPr>
          <w:rFonts w:ascii="Candara" w:eastAsia="Candara" w:hAnsi="Candara" w:cs="Candara"/>
          <w:sz w:val="24"/>
          <w:szCs w:val="24"/>
          <w:lang w:val="da-DK"/>
        </w:rPr>
      </w:pPr>
    </w:p>
    <w:tbl>
      <w:tblPr>
        <w:tblStyle w:val="TableGrid1"/>
        <w:tblW w:w="0" w:type="auto"/>
        <w:jc w:val="center"/>
        <w:tblLook w:val="04A0" w:firstRow="1" w:lastRow="0" w:firstColumn="1" w:lastColumn="0" w:noHBand="0" w:noVBand="1"/>
      </w:tblPr>
      <w:tblGrid>
        <w:gridCol w:w="2880"/>
        <w:gridCol w:w="2880"/>
        <w:gridCol w:w="2880"/>
      </w:tblGrid>
      <w:tr w:rsidR="002F0A3A" w:rsidRPr="002F0A3A" w14:paraId="2B1455C0" w14:textId="77777777" w:rsidTr="00C13AE9">
        <w:trPr>
          <w:jc w:val="center"/>
        </w:trPr>
        <w:tc>
          <w:tcPr>
            <w:tcW w:w="2880" w:type="dxa"/>
          </w:tcPr>
          <w:p w14:paraId="6740507A" w14:textId="77777777" w:rsidR="002F0A3A" w:rsidRPr="002F0A3A" w:rsidRDefault="002F0A3A" w:rsidP="002F0A3A">
            <w:pPr>
              <w:widowControl/>
              <w:autoSpaceDE/>
              <w:autoSpaceDN/>
              <w:spacing w:after="200" w:line="360" w:lineRule="auto"/>
              <w:rPr>
                <w:rFonts w:ascii="Candara" w:eastAsia="MS Mincho" w:hAnsi="Candara" w:cs="Times New Roman"/>
                <w:b/>
                <w:bCs/>
                <w:sz w:val="24"/>
                <w:szCs w:val="24"/>
              </w:rPr>
            </w:pPr>
            <w:r w:rsidRPr="002F0A3A">
              <w:rPr>
                <w:rFonts w:ascii="Candara" w:eastAsia="MS Mincho" w:hAnsi="Candara" w:cs="Times New Roman"/>
                <w:b/>
                <w:bCs/>
                <w:sz w:val="24"/>
                <w:szCs w:val="24"/>
              </w:rPr>
              <w:t>Aspek</w:t>
            </w:r>
          </w:p>
        </w:tc>
        <w:tc>
          <w:tcPr>
            <w:tcW w:w="2880" w:type="dxa"/>
          </w:tcPr>
          <w:p w14:paraId="295C4591" w14:textId="77777777" w:rsidR="002F0A3A" w:rsidRPr="002F0A3A" w:rsidRDefault="002F0A3A" w:rsidP="002F0A3A">
            <w:pPr>
              <w:widowControl/>
              <w:autoSpaceDE/>
              <w:autoSpaceDN/>
              <w:spacing w:after="200" w:line="360" w:lineRule="auto"/>
              <w:rPr>
                <w:rFonts w:ascii="Candara" w:eastAsia="MS Mincho" w:hAnsi="Candara" w:cs="Times New Roman"/>
                <w:b/>
                <w:bCs/>
                <w:sz w:val="24"/>
                <w:szCs w:val="24"/>
              </w:rPr>
            </w:pPr>
            <w:r w:rsidRPr="002F0A3A">
              <w:rPr>
                <w:rFonts w:ascii="Candara" w:eastAsia="MS Mincho" w:hAnsi="Candara" w:cs="Times New Roman"/>
                <w:b/>
                <w:bCs/>
                <w:sz w:val="24"/>
                <w:szCs w:val="24"/>
              </w:rPr>
              <w:t>Imam Sībawaih (Klasik)</w:t>
            </w:r>
          </w:p>
        </w:tc>
        <w:tc>
          <w:tcPr>
            <w:tcW w:w="2880" w:type="dxa"/>
          </w:tcPr>
          <w:p w14:paraId="53E59F12" w14:textId="77777777" w:rsidR="002F0A3A" w:rsidRPr="002F0A3A" w:rsidRDefault="002F0A3A" w:rsidP="002F0A3A">
            <w:pPr>
              <w:widowControl/>
              <w:autoSpaceDE/>
              <w:autoSpaceDN/>
              <w:spacing w:after="200" w:line="360" w:lineRule="auto"/>
              <w:rPr>
                <w:rFonts w:ascii="Candara" w:eastAsia="MS Mincho" w:hAnsi="Candara" w:cs="Times New Roman"/>
                <w:b/>
                <w:bCs/>
                <w:sz w:val="24"/>
                <w:szCs w:val="24"/>
              </w:rPr>
            </w:pPr>
            <w:r w:rsidRPr="002F0A3A">
              <w:rPr>
                <w:rFonts w:ascii="Candara" w:eastAsia="MS Mincho" w:hAnsi="Candara" w:cs="Times New Roman"/>
                <w:b/>
                <w:bCs/>
                <w:sz w:val="24"/>
                <w:szCs w:val="24"/>
              </w:rPr>
              <w:t>Ibrāhīm Mu</w:t>
            </w:r>
            <w:r w:rsidRPr="002F0A3A">
              <w:rPr>
                <w:rFonts w:ascii="Calibri" w:eastAsia="MS Mincho" w:hAnsi="Calibri" w:cs="Calibri"/>
                <w:b/>
                <w:bCs/>
                <w:sz w:val="24"/>
                <w:szCs w:val="24"/>
              </w:rPr>
              <w:t>ṣṭ</w:t>
            </w:r>
            <w:r w:rsidRPr="002F0A3A">
              <w:rPr>
                <w:rFonts w:ascii="Candara" w:eastAsia="MS Mincho" w:hAnsi="Candara" w:cs="Times New Roman"/>
                <w:b/>
                <w:bCs/>
                <w:sz w:val="24"/>
                <w:szCs w:val="24"/>
              </w:rPr>
              <w:t>afā (Modern)</w:t>
            </w:r>
          </w:p>
        </w:tc>
      </w:tr>
      <w:tr w:rsidR="002F0A3A" w:rsidRPr="002F0A3A" w14:paraId="5FE0A641" w14:textId="77777777" w:rsidTr="00C13AE9">
        <w:trPr>
          <w:jc w:val="center"/>
        </w:trPr>
        <w:tc>
          <w:tcPr>
            <w:tcW w:w="2880" w:type="dxa"/>
          </w:tcPr>
          <w:p w14:paraId="462A62EB" w14:textId="77777777" w:rsidR="002F0A3A" w:rsidRPr="002F0A3A" w:rsidRDefault="002F0A3A" w:rsidP="002F0A3A">
            <w:pPr>
              <w:widowControl/>
              <w:autoSpaceDE/>
              <w:autoSpaceDN/>
              <w:spacing w:after="200" w:line="360" w:lineRule="auto"/>
              <w:rPr>
                <w:rFonts w:ascii="Candara" w:eastAsia="MS Mincho" w:hAnsi="Candara" w:cs="Times New Roman"/>
                <w:b/>
                <w:bCs/>
                <w:sz w:val="24"/>
                <w:szCs w:val="24"/>
              </w:rPr>
            </w:pPr>
            <w:r w:rsidRPr="002F0A3A">
              <w:rPr>
                <w:rFonts w:ascii="Candara" w:eastAsia="MS Mincho" w:hAnsi="Candara" w:cs="Times New Roman"/>
                <w:b/>
                <w:bCs/>
                <w:sz w:val="24"/>
                <w:szCs w:val="24"/>
              </w:rPr>
              <w:t>Pendekatan Epistemologis</w:t>
            </w:r>
          </w:p>
        </w:tc>
        <w:tc>
          <w:tcPr>
            <w:tcW w:w="2880" w:type="dxa"/>
          </w:tcPr>
          <w:p w14:paraId="6321A5BD" w14:textId="77777777" w:rsidR="002F0A3A" w:rsidRPr="002F0A3A" w:rsidRDefault="002F0A3A" w:rsidP="002F0A3A">
            <w:pPr>
              <w:widowControl/>
              <w:autoSpaceDE/>
              <w:autoSpaceDN/>
              <w:spacing w:after="200" w:line="360" w:lineRule="auto"/>
              <w:rPr>
                <w:rFonts w:ascii="Candara" w:eastAsia="MS Mincho" w:hAnsi="Candara" w:cs="Times New Roman"/>
                <w:sz w:val="24"/>
                <w:szCs w:val="24"/>
              </w:rPr>
            </w:pPr>
            <w:r w:rsidRPr="002F0A3A">
              <w:rPr>
                <w:rFonts w:ascii="Candara" w:eastAsia="MS Mincho" w:hAnsi="Candara" w:cs="Times New Roman"/>
                <w:sz w:val="24"/>
                <w:szCs w:val="24"/>
              </w:rPr>
              <w:t>Deduktif, berbasis riwayat, analogi (qiyās), dan kemurnian bahasa Arab.</w:t>
            </w:r>
          </w:p>
        </w:tc>
        <w:tc>
          <w:tcPr>
            <w:tcW w:w="2880" w:type="dxa"/>
          </w:tcPr>
          <w:p w14:paraId="1CE031BB" w14:textId="77777777" w:rsidR="002F0A3A" w:rsidRPr="002F0A3A" w:rsidRDefault="002F0A3A" w:rsidP="002F0A3A">
            <w:pPr>
              <w:widowControl/>
              <w:autoSpaceDE/>
              <w:autoSpaceDN/>
              <w:spacing w:after="200" w:line="360" w:lineRule="auto"/>
              <w:rPr>
                <w:rFonts w:ascii="Candara" w:eastAsia="MS Mincho" w:hAnsi="Candara" w:cs="Times New Roman"/>
                <w:sz w:val="24"/>
                <w:szCs w:val="24"/>
                <w:lang w:val="da-DK"/>
              </w:rPr>
            </w:pPr>
            <w:r w:rsidRPr="002F0A3A">
              <w:rPr>
                <w:rFonts w:ascii="Candara" w:eastAsia="MS Mincho" w:hAnsi="Candara" w:cs="Times New Roman"/>
                <w:sz w:val="24"/>
                <w:szCs w:val="24"/>
                <w:lang w:val="da-DK"/>
              </w:rPr>
              <w:t>Fungsional, kontekstual, dan aplikatif dengan pendekatan linguistik modern.</w:t>
            </w:r>
          </w:p>
        </w:tc>
      </w:tr>
      <w:tr w:rsidR="002F0A3A" w:rsidRPr="002F0A3A" w14:paraId="175BD53F" w14:textId="77777777" w:rsidTr="00C13AE9">
        <w:trPr>
          <w:jc w:val="center"/>
        </w:trPr>
        <w:tc>
          <w:tcPr>
            <w:tcW w:w="2880" w:type="dxa"/>
          </w:tcPr>
          <w:p w14:paraId="4856E4DA" w14:textId="77777777" w:rsidR="002F0A3A" w:rsidRPr="002F0A3A" w:rsidRDefault="002F0A3A" w:rsidP="002F0A3A">
            <w:pPr>
              <w:widowControl/>
              <w:autoSpaceDE/>
              <w:autoSpaceDN/>
              <w:spacing w:after="200" w:line="360" w:lineRule="auto"/>
              <w:rPr>
                <w:rFonts w:ascii="Candara" w:eastAsia="MS Mincho" w:hAnsi="Candara" w:cs="Times New Roman"/>
                <w:b/>
                <w:bCs/>
                <w:sz w:val="24"/>
                <w:szCs w:val="24"/>
              </w:rPr>
            </w:pPr>
            <w:r w:rsidRPr="002F0A3A">
              <w:rPr>
                <w:rFonts w:ascii="Candara" w:eastAsia="MS Mincho" w:hAnsi="Candara" w:cs="Times New Roman"/>
                <w:b/>
                <w:bCs/>
                <w:sz w:val="24"/>
                <w:szCs w:val="24"/>
              </w:rPr>
              <w:t>Sumber Rujukan</w:t>
            </w:r>
          </w:p>
        </w:tc>
        <w:tc>
          <w:tcPr>
            <w:tcW w:w="2880" w:type="dxa"/>
          </w:tcPr>
          <w:p w14:paraId="489665D9" w14:textId="77777777" w:rsidR="002F0A3A" w:rsidRPr="002F0A3A" w:rsidRDefault="002F0A3A" w:rsidP="002F0A3A">
            <w:pPr>
              <w:widowControl/>
              <w:autoSpaceDE/>
              <w:autoSpaceDN/>
              <w:spacing w:after="200" w:line="360" w:lineRule="auto"/>
              <w:rPr>
                <w:rFonts w:ascii="Candara" w:eastAsia="MS Mincho" w:hAnsi="Candara" w:cs="Times New Roman"/>
                <w:sz w:val="24"/>
                <w:szCs w:val="24"/>
              </w:rPr>
            </w:pPr>
            <w:r w:rsidRPr="002F0A3A">
              <w:rPr>
                <w:rFonts w:ascii="Candara" w:eastAsia="MS Mincho" w:hAnsi="Candara" w:cs="Times New Roman"/>
                <w:sz w:val="24"/>
                <w:szCs w:val="24"/>
              </w:rPr>
              <w:t>Al-Qur’an, syair jahiliah, dan bahasa Arab Badui.</w:t>
            </w:r>
          </w:p>
        </w:tc>
        <w:tc>
          <w:tcPr>
            <w:tcW w:w="2880" w:type="dxa"/>
          </w:tcPr>
          <w:p w14:paraId="4CCE09D4" w14:textId="77777777" w:rsidR="002F0A3A" w:rsidRPr="002F0A3A" w:rsidRDefault="002F0A3A" w:rsidP="002F0A3A">
            <w:pPr>
              <w:widowControl/>
              <w:autoSpaceDE/>
              <w:autoSpaceDN/>
              <w:spacing w:after="200" w:line="360" w:lineRule="auto"/>
              <w:rPr>
                <w:rFonts w:ascii="Candara" w:eastAsia="MS Mincho" w:hAnsi="Candara" w:cs="Times New Roman"/>
                <w:sz w:val="24"/>
                <w:szCs w:val="24"/>
                <w:lang w:val="da-DK"/>
              </w:rPr>
            </w:pPr>
            <w:r w:rsidRPr="002F0A3A">
              <w:rPr>
                <w:rFonts w:ascii="Candara" w:eastAsia="MS Mincho" w:hAnsi="Candara" w:cs="Times New Roman"/>
                <w:sz w:val="24"/>
                <w:szCs w:val="24"/>
                <w:lang w:val="da-DK"/>
              </w:rPr>
              <w:t>Kebutuhan komunikatif modern dan pendekatan sintaksis struktural.</w:t>
            </w:r>
          </w:p>
        </w:tc>
      </w:tr>
      <w:tr w:rsidR="002F0A3A" w:rsidRPr="002F0A3A" w14:paraId="0F62648A" w14:textId="77777777" w:rsidTr="00C13AE9">
        <w:trPr>
          <w:jc w:val="center"/>
        </w:trPr>
        <w:tc>
          <w:tcPr>
            <w:tcW w:w="2880" w:type="dxa"/>
          </w:tcPr>
          <w:p w14:paraId="39109373" w14:textId="77777777" w:rsidR="002F0A3A" w:rsidRPr="002F0A3A" w:rsidRDefault="002F0A3A" w:rsidP="002F0A3A">
            <w:pPr>
              <w:widowControl/>
              <w:autoSpaceDE/>
              <w:autoSpaceDN/>
              <w:spacing w:after="200" w:line="360" w:lineRule="auto"/>
              <w:rPr>
                <w:rFonts w:ascii="Candara" w:eastAsia="MS Mincho" w:hAnsi="Candara" w:cs="Times New Roman"/>
                <w:b/>
                <w:bCs/>
                <w:sz w:val="24"/>
                <w:szCs w:val="24"/>
              </w:rPr>
            </w:pPr>
            <w:r w:rsidRPr="002F0A3A">
              <w:rPr>
                <w:rFonts w:ascii="Candara" w:eastAsia="MS Mincho" w:hAnsi="Candara" w:cs="Times New Roman"/>
                <w:b/>
                <w:bCs/>
                <w:sz w:val="24"/>
                <w:szCs w:val="24"/>
              </w:rPr>
              <w:t>Konsep 'Āmil</w:t>
            </w:r>
          </w:p>
        </w:tc>
        <w:tc>
          <w:tcPr>
            <w:tcW w:w="2880" w:type="dxa"/>
          </w:tcPr>
          <w:p w14:paraId="4BF57A25" w14:textId="77777777" w:rsidR="002F0A3A" w:rsidRPr="002F0A3A" w:rsidRDefault="002F0A3A" w:rsidP="002F0A3A">
            <w:pPr>
              <w:widowControl/>
              <w:autoSpaceDE/>
              <w:autoSpaceDN/>
              <w:spacing w:after="200" w:line="360" w:lineRule="auto"/>
              <w:rPr>
                <w:rFonts w:ascii="Candara" w:eastAsia="MS Mincho" w:hAnsi="Candara" w:cs="Times New Roman"/>
                <w:sz w:val="24"/>
                <w:szCs w:val="24"/>
                <w:lang w:val="da-DK"/>
              </w:rPr>
            </w:pPr>
            <w:r w:rsidRPr="002F0A3A">
              <w:rPr>
                <w:rFonts w:ascii="Candara" w:eastAsia="MS Mincho" w:hAnsi="Candara" w:cs="Times New Roman"/>
                <w:sz w:val="24"/>
                <w:szCs w:val="24"/>
                <w:lang w:val="da-DK"/>
              </w:rPr>
              <w:t>Fokus utama dalam menjelaskan perubahan i‘rāb.</w:t>
            </w:r>
          </w:p>
        </w:tc>
        <w:tc>
          <w:tcPr>
            <w:tcW w:w="2880" w:type="dxa"/>
          </w:tcPr>
          <w:p w14:paraId="235BAF57" w14:textId="77777777" w:rsidR="002F0A3A" w:rsidRPr="002F0A3A" w:rsidRDefault="002F0A3A" w:rsidP="002F0A3A">
            <w:pPr>
              <w:widowControl/>
              <w:autoSpaceDE/>
              <w:autoSpaceDN/>
              <w:spacing w:after="200" w:line="360" w:lineRule="auto"/>
              <w:rPr>
                <w:rFonts w:ascii="Candara" w:eastAsia="MS Mincho" w:hAnsi="Candara" w:cs="Times New Roman"/>
                <w:sz w:val="24"/>
                <w:szCs w:val="24"/>
                <w:lang w:val="da-DK"/>
              </w:rPr>
            </w:pPr>
            <w:r w:rsidRPr="002F0A3A">
              <w:rPr>
                <w:rFonts w:ascii="Candara" w:eastAsia="MS Mincho" w:hAnsi="Candara" w:cs="Times New Roman"/>
                <w:sz w:val="24"/>
                <w:szCs w:val="24"/>
                <w:lang w:val="da-DK"/>
              </w:rPr>
              <w:t>Dikritik karena abstrak dan membingungkan, dinilai tidak fungsional.</w:t>
            </w:r>
          </w:p>
        </w:tc>
      </w:tr>
      <w:tr w:rsidR="002F0A3A" w:rsidRPr="002F0A3A" w14:paraId="5475CE94" w14:textId="77777777" w:rsidTr="00C13AE9">
        <w:trPr>
          <w:jc w:val="center"/>
        </w:trPr>
        <w:tc>
          <w:tcPr>
            <w:tcW w:w="2880" w:type="dxa"/>
          </w:tcPr>
          <w:p w14:paraId="4CB7C3FF" w14:textId="77777777" w:rsidR="002F0A3A" w:rsidRPr="002F0A3A" w:rsidRDefault="002F0A3A" w:rsidP="002F0A3A">
            <w:pPr>
              <w:widowControl/>
              <w:autoSpaceDE/>
              <w:autoSpaceDN/>
              <w:spacing w:after="200" w:line="360" w:lineRule="auto"/>
              <w:rPr>
                <w:rFonts w:ascii="Candara" w:eastAsia="MS Mincho" w:hAnsi="Candara" w:cs="Times New Roman"/>
                <w:b/>
                <w:bCs/>
                <w:sz w:val="24"/>
                <w:szCs w:val="24"/>
              </w:rPr>
            </w:pPr>
            <w:r w:rsidRPr="002F0A3A">
              <w:rPr>
                <w:rFonts w:ascii="Candara" w:eastAsia="MS Mincho" w:hAnsi="Candara" w:cs="Times New Roman"/>
                <w:b/>
                <w:bCs/>
                <w:sz w:val="24"/>
                <w:szCs w:val="24"/>
              </w:rPr>
              <w:t>Sistem I‘rāb</w:t>
            </w:r>
          </w:p>
        </w:tc>
        <w:tc>
          <w:tcPr>
            <w:tcW w:w="2880" w:type="dxa"/>
          </w:tcPr>
          <w:p w14:paraId="40E6DA83" w14:textId="77777777" w:rsidR="002F0A3A" w:rsidRPr="002F0A3A" w:rsidRDefault="002F0A3A" w:rsidP="002F0A3A">
            <w:pPr>
              <w:widowControl/>
              <w:autoSpaceDE/>
              <w:autoSpaceDN/>
              <w:spacing w:after="200" w:line="360" w:lineRule="auto"/>
              <w:rPr>
                <w:rFonts w:ascii="Candara" w:eastAsia="MS Mincho" w:hAnsi="Candara" w:cs="Times New Roman"/>
                <w:sz w:val="24"/>
                <w:szCs w:val="24"/>
              </w:rPr>
            </w:pPr>
            <w:r w:rsidRPr="002F0A3A">
              <w:rPr>
                <w:rFonts w:ascii="Candara" w:eastAsia="MS Mincho" w:hAnsi="Candara" w:cs="Times New Roman"/>
                <w:sz w:val="24"/>
                <w:szCs w:val="24"/>
              </w:rPr>
              <w:t>Menerima semua tanda termasuk fathah, kasrah, dammah, dan sukun.</w:t>
            </w:r>
          </w:p>
        </w:tc>
        <w:tc>
          <w:tcPr>
            <w:tcW w:w="2880" w:type="dxa"/>
          </w:tcPr>
          <w:p w14:paraId="7359BB5D" w14:textId="77777777" w:rsidR="002F0A3A" w:rsidRPr="002F0A3A" w:rsidRDefault="002F0A3A" w:rsidP="002F0A3A">
            <w:pPr>
              <w:widowControl/>
              <w:autoSpaceDE/>
              <w:autoSpaceDN/>
              <w:spacing w:after="200" w:line="360" w:lineRule="auto"/>
              <w:rPr>
                <w:rFonts w:ascii="Candara" w:eastAsia="MS Mincho" w:hAnsi="Candara" w:cs="Times New Roman"/>
                <w:sz w:val="24"/>
                <w:szCs w:val="24"/>
                <w:lang w:val="da-DK"/>
              </w:rPr>
            </w:pPr>
            <w:r w:rsidRPr="002F0A3A">
              <w:rPr>
                <w:rFonts w:ascii="Candara" w:eastAsia="MS Mincho" w:hAnsi="Candara" w:cs="Times New Roman"/>
                <w:sz w:val="24"/>
                <w:szCs w:val="24"/>
                <w:lang w:val="da-DK"/>
              </w:rPr>
              <w:t>Menolak fathah sebagai tanda bermakna; hanya menerima kasrah dan dammah.</w:t>
            </w:r>
          </w:p>
        </w:tc>
      </w:tr>
      <w:tr w:rsidR="002F0A3A" w:rsidRPr="002F0A3A" w14:paraId="6BCEE870" w14:textId="77777777" w:rsidTr="00C13AE9">
        <w:trPr>
          <w:jc w:val="center"/>
        </w:trPr>
        <w:tc>
          <w:tcPr>
            <w:tcW w:w="2880" w:type="dxa"/>
          </w:tcPr>
          <w:p w14:paraId="4682DDE7" w14:textId="77777777" w:rsidR="002F0A3A" w:rsidRPr="002F0A3A" w:rsidRDefault="002F0A3A" w:rsidP="002F0A3A">
            <w:pPr>
              <w:widowControl/>
              <w:autoSpaceDE/>
              <w:autoSpaceDN/>
              <w:spacing w:after="200" w:line="360" w:lineRule="auto"/>
              <w:rPr>
                <w:rFonts w:ascii="Candara" w:eastAsia="MS Mincho" w:hAnsi="Candara" w:cs="Times New Roman"/>
                <w:b/>
                <w:bCs/>
                <w:sz w:val="24"/>
                <w:szCs w:val="24"/>
              </w:rPr>
            </w:pPr>
            <w:r w:rsidRPr="002F0A3A">
              <w:rPr>
                <w:rFonts w:ascii="Candara" w:eastAsia="MS Mincho" w:hAnsi="Candara" w:cs="Times New Roman"/>
                <w:b/>
                <w:bCs/>
                <w:sz w:val="24"/>
                <w:szCs w:val="24"/>
              </w:rPr>
              <w:t>Struktur dan Istilah Kalimat</w:t>
            </w:r>
          </w:p>
        </w:tc>
        <w:tc>
          <w:tcPr>
            <w:tcW w:w="2880" w:type="dxa"/>
          </w:tcPr>
          <w:p w14:paraId="2587D477" w14:textId="77777777" w:rsidR="002F0A3A" w:rsidRPr="002F0A3A" w:rsidRDefault="002F0A3A" w:rsidP="002F0A3A">
            <w:pPr>
              <w:widowControl/>
              <w:autoSpaceDE/>
              <w:autoSpaceDN/>
              <w:spacing w:after="200" w:line="360" w:lineRule="auto"/>
              <w:rPr>
                <w:rFonts w:ascii="Candara" w:eastAsia="MS Mincho" w:hAnsi="Candara" w:cs="Times New Roman"/>
                <w:sz w:val="24"/>
                <w:szCs w:val="24"/>
                <w:lang w:val="da-DK"/>
              </w:rPr>
            </w:pPr>
            <w:r w:rsidRPr="002F0A3A">
              <w:rPr>
                <w:rFonts w:ascii="Candara" w:eastAsia="MS Mincho" w:hAnsi="Candara" w:cs="Times New Roman"/>
                <w:sz w:val="24"/>
                <w:szCs w:val="24"/>
                <w:lang w:val="da-DK"/>
              </w:rPr>
              <w:t>Menggunakan istilah klasik seperti mubtada’–khabar dan fi‘l–fā‘il.</w:t>
            </w:r>
          </w:p>
        </w:tc>
        <w:tc>
          <w:tcPr>
            <w:tcW w:w="2880" w:type="dxa"/>
          </w:tcPr>
          <w:p w14:paraId="66EEA222" w14:textId="77777777" w:rsidR="002F0A3A" w:rsidRPr="002F0A3A" w:rsidRDefault="002F0A3A" w:rsidP="002F0A3A">
            <w:pPr>
              <w:widowControl/>
              <w:autoSpaceDE/>
              <w:autoSpaceDN/>
              <w:spacing w:after="200" w:line="360" w:lineRule="auto"/>
              <w:rPr>
                <w:rFonts w:ascii="Candara" w:eastAsia="MS Mincho" w:hAnsi="Candara" w:cs="Times New Roman"/>
                <w:sz w:val="24"/>
                <w:szCs w:val="24"/>
                <w:lang w:val="da-DK"/>
              </w:rPr>
            </w:pPr>
            <w:r w:rsidRPr="002F0A3A">
              <w:rPr>
                <w:rFonts w:ascii="Candara" w:eastAsia="MS Mincho" w:hAnsi="Candara" w:cs="Times New Roman"/>
                <w:sz w:val="24"/>
                <w:szCs w:val="24"/>
                <w:lang w:val="da-DK"/>
              </w:rPr>
              <w:t>Mengusulkan istilah baru seperti musnad–musnad ilaih.</w:t>
            </w:r>
          </w:p>
        </w:tc>
      </w:tr>
      <w:tr w:rsidR="002F0A3A" w:rsidRPr="002F0A3A" w14:paraId="40172D93" w14:textId="77777777" w:rsidTr="00C13AE9">
        <w:trPr>
          <w:jc w:val="center"/>
        </w:trPr>
        <w:tc>
          <w:tcPr>
            <w:tcW w:w="2880" w:type="dxa"/>
          </w:tcPr>
          <w:p w14:paraId="7BB7F4B7" w14:textId="77777777" w:rsidR="002F0A3A" w:rsidRPr="002F0A3A" w:rsidRDefault="002F0A3A" w:rsidP="002F0A3A">
            <w:pPr>
              <w:widowControl/>
              <w:autoSpaceDE/>
              <w:autoSpaceDN/>
              <w:spacing w:after="200" w:line="360" w:lineRule="auto"/>
              <w:rPr>
                <w:rFonts w:ascii="Candara" w:eastAsia="MS Mincho" w:hAnsi="Candara" w:cs="Times New Roman"/>
                <w:b/>
                <w:bCs/>
                <w:sz w:val="24"/>
                <w:szCs w:val="24"/>
              </w:rPr>
            </w:pPr>
            <w:r w:rsidRPr="002F0A3A">
              <w:rPr>
                <w:rFonts w:ascii="Candara" w:eastAsia="MS Mincho" w:hAnsi="Candara" w:cs="Times New Roman"/>
                <w:b/>
                <w:bCs/>
                <w:sz w:val="24"/>
                <w:szCs w:val="24"/>
              </w:rPr>
              <w:lastRenderedPageBreak/>
              <w:t>Tujuan Nahwu</w:t>
            </w:r>
          </w:p>
        </w:tc>
        <w:tc>
          <w:tcPr>
            <w:tcW w:w="2880" w:type="dxa"/>
          </w:tcPr>
          <w:p w14:paraId="5B33FD33" w14:textId="77777777" w:rsidR="002F0A3A" w:rsidRPr="002F0A3A" w:rsidRDefault="002F0A3A" w:rsidP="002F0A3A">
            <w:pPr>
              <w:widowControl/>
              <w:autoSpaceDE/>
              <w:autoSpaceDN/>
              <w:spacing w:after="200" w:line="360" w:lineRule="auto"/>
              <w:rPr>
                <w:rFonts w:ascii="Candara" w:eastAsia="MS Mincho" w:hAnsi="Candara" w:cs="Times New Roman"/>
                <w:sz w:val="24"/>
                <w:szCs w:val="24"/>
                <w:lang w:val="da-DK"/>
              </w:rPr>
            </w:pPr>
            <w:r w:rsidRPr="002F0A3A">
              <w:rPr>
                <w:rFonts w:ascii="Candara" w:eastAsia="MS Mincho" w:hAnsi="Candara" w:cs="Times New Roman"/>
                <w:sz w:val="24"/>
                <w:szCs w:val="24"/>
                <w:lang w:val="da-DK"/>
              </w:rPr>
              <w:t>Menjaga kemurnian bahasa dan keotentikan gramatika.</w:t>
            </w:r>
          </w:p>
        </w:tc>
        <w:tc>
          <w:tcPr>
            <w:tcW w:w="2880" w:type="dxa"/>
          </w:tcPr>
          <w:p w14:paraId="74857CF1" w14:textId="77777777" w:rsidR="002F0A3A" w:rsidRPr="002F0A3A" w:rsidRDefault="002F0A3A" w:rsidP="002F0A3A">
            <w:pPr>
              <w:widowControl/>
              <w:autoSpaceDE/>
              <w:autoSpaceDN/>
              <w:spacing w:after="200" w:line="360" w:lineRule="auto"/>
              <w:rPr>
                <w:rFonts w:ascii="Candara" w:eastAsia="MS Mincho" w:hAnsi="Candara" w:cs="Times New Roman"/>
                <w:sz w:val="24"/>
                <w:szCs w:val="24"/>
                <w:lang w:val="da-DK"/>
              </w:rPr>
            </w:pPr>
            <w:r w:rsidRPr="002F0A3A">
              <w:rPr>
                <w:rFonts w:ascii="Candara" w:eastAsia="MS Mincho" w:hAnsi="Candara" w:cs="Times New Roman"/>
                <w:sz w:val="24"/>
                <w:szCs w:val="24"/>
                <w:lang w:val="da-DK"/>
              </w:rPr>
              <w:t>Menyesuaikan dengan kebutuhan pengajaran dan pemahaman praktis.</w:t>
            </w:r>
          </w:p>
        </w:tc>
      </w:tr>
      <w:tr w:rsidR="002F0A3A" w:rsidRPr="002F0A3A" w14:paraId="4E4D947D" w14:textId="77777777" w:rsidTr="00C13AE9">
        <w:trPr>
          <w:jc w:val="center"/>
        </w:trPr>
        <w:tc>
          <w:tcPr>
            <w:tcW w:w="2880" w:type="dxa"/>
          </w:tcPr>
          <w:p w14:paraId="543C3C57" w14:textId="77777777" w:rsidR="002F0A3A" w:rsidRPr="002F0A3A" w:rsidRDefault="002F0A3A" w:rsidP="002F0A3A">
            <w:pPr>
              <w:widowControl/>
              <w:autoSpaceDE/>
              <w:autoSpaceDN/>
              <w:spacing w:after="200" w:line="360" w:lineRule="auto"/>
              <w:rPr>
                <w:rFonts w:ascii="Candara" w:eastAsia="MS Mincho" w:hAnsi="Candara" w:cs="Times New Roman"/>
                <w:b/>
                <w:bCs/>
                <w:sz w:val="24"/>
                <w:szCs w:val="24"/>
              </w:rPr>
            </w:pPr>
            <w:r w:rsidRPr="002F0A3A">
              <w:rPr>
                <w:rFonts w:ascii="Candara" w:eastAsia="MS Mincho" w:hAnsi="Candara" w:cs="Times New Roman"/>
                <w:b/>
                <w:bCs/>
                <w:sz w:val="24"/>
                <w:szCs w:val="24"/>
              </w:rPr>
              <w:t>Sistematika Pembelajaran</w:t>
            </w:r>
          </w:p>
        </w:tc>
        <w:tc>
          <w:tcPr>
            <w:tcW w:w="2880" w:type="dxa"/>
          </w:tcPr>
          <w:p w14:paraId="25E3AA93" w14:textId="77777777" w:rsidR="002F0A3A" w:rsidRPr="002F0A3A" w:rsidRDefault="002F0A3A" w:rsidP="002F0A3A">
            <w:pPr>
              <w:widowControl/>
              <w:autoSpaceDE/>
              <w:autoSpaceDN/>
              <w:spacing w:after="200" w:line="360" w:lineRule="auto"/>
              <w:rPr>
                <w:rFonts w:ascii="Candara" w:eastAsia="MS Mincho" w:hAnsi="Candara" w:cs="Times New Roman"/>
                <w:sz w:val="24"/>
                <w:szCs w:val="24"/>
                <w:lang w:val="da-DK"/>
              </w:rPr>
            </w:pPr>
            <w:r w:rsidRPr="002F0A3A">
              <w:rPr>
                <w:rFonts w:ascii="Candara" w:eastAsia="MS Mincho" w:hAnsi="Candara" w:cs="Times New Roman"/>
                <w:sz w:val="24"/>
                <w:szCs w:val="24"/>
                <w:lang w:val="da-DK"/>
              </w:rPr>
              <w:t>Cenderung kaku dan tidak kontekstual.</w:t>
            </w:r>
          </w:p>
        </w:tc>
        <w:tc>
          <w:tcPr>
            <w:tcW w:w="2880" w:type="dxa"/>
          </w:tcPr>
          <w:p w14:paraId="2A13A27E" w14:textId="77777777" w:rsidR="002F0A3A" w:rsidRPr="002F0A3A" w:rsidRDefault="002F0A3A" w:rsidP="002F0A3A">
            <w:pPr>
              <w:widowControl/>
              <w:autoSpaceDE/>
              <w:autoSpaceDN/>
              <w:spacing w:after="200" w:line="360" w:lineRule="auto"/>
              <w:rPr>
                <w:rFonts w:ascii="Candara" w:eastAsia="MS Mincho" w:hAnsi="Candara" w:cs="Times New Roman"/>
                <w:sz w:val="24"/>
                <w:szCs w:val="24"/>
                <w:lang w:val="pt-PT"/>
              </w:rPr>
            </w:pPr>
            <w:r w:rsidRPr="002F0A3A">
              <w:rPr>
                <w:rFonts w:ascii="Candara" w:eastAsia="MS Mincho" w:hAnsi="Candara" w:cs="Times New Roman"/>
                <w:sz w:val="24"/>
                <w:szCs w:val="24"/>
                <w:lang w:val="pt-PT"/>
              </w:rPr>
              <w:t>Lebih logis, sistematis, dan mudah dipahami oleh pelajar modern.</w:t>
            </w:r>
          </w:p>
        </w:tc>
      </w:tr>
    </w:tbl>
    <w:p w14:paraId="08F37698" w14:textId="77777777" w:rsidR="00B94D36" w:rsidRPr="002F0A3A" w:rsidRDefault="00B94D36" w:rsidP="00935C54">
      <w:pPr>
        <w:jc w:val="both"/>
        <w:rPr>
          <w:rFonts w:ascii="Candara" w:eastAsia="Candara" w:hAnsi="Candara" w:cs="Candara"/>
          <w:sz w:val="24"/>
          <w:szCs w:val="24"/>
          <w:lang w:val="pt-PT"/>
        </w:rPr>
      </w:pPr>
    </w:p>
    <w:p w14:paraId="492655C8" w14:textId="77777777" w:rsidR="00935C54" w:rsidRPr="00935C54" w:rsidRDefault="00935C54" w:rsidP="00935C54">
      <w:pPr>
        <w:jc w:val="both"/>
        <w:rPr>
          <w:rFonts w:ascii="Candara" w:eastAsia="Candara" w:hAnsi="Candara" w:cs="Candara"/>
          <w:sz w:val="24"/>
          <w:szCs w:val="24"/>
          <w:lang w:val="pt-PT"/>
        </w:rPr>
      </w:pPr>
      <w:r w:rsidRPr="00935C54">
        <w:rPr>
          <w:rFonts w:ascii="Candara" w:eastAsia="Candara" w:hAnsi="Candara" w:cs="Candara"/>
          <w:b/>
          <w:bCs/>
          <w:sz w:val="24"/>
          <w:szCs w:val="24"/>
          <w:lang w:val="pt-PT"/>
        </w:rPr>
        <w:t>Komparasi Epistemologis: Imam Sībawaih vs Ibrāhīm Mu</w:t>
      </w:r>
      <w:r w:rsidRPr="00935C54">
        <w:rPr>
          <w:rFonts w:ascii="Calibri" w:eastAsia="Candara" w:hAnsi="Calibri" w:cs="Calibri"/>
          <w:b/>
          <w:bCs/>
          <w:sz w:val="24"/>
          <w:szCs w:val="24"/>
          <w:lang w:val="pt-PT"/>
        </w:rPr>
        <w:t>ṣṭ</w:t>
      </w:r>
      <w:r w:rsidRPr="00935C54">
        <w:rPr>
          <w:rFonts w:ascii="Candara" w:eastAsia="Candara" w:hAnsi="Candara" w:cs="Candara"/>
          <w:b/>
          <w:bCs/>
          <w:sz w:val="24"/>
          <w:szCs w:val="24"/>
          <w:lang w:val="pt-PT"/>
        </w:rPr>
        <w:t>afā</w:t>
      </w:r>
    </w:p>
    <w:p w14:paraId="5EB5AC87" w14:textId="77777777" w:rsidR="00935C54" w:rsidRPr="00935C54" w:rsidRDefault="00935C54" w:rsidP="00935C54">
      <w:pPr>
        <w:ind w:firstLine="720"/>
        <w:jc w:val="both"/>
        <w:rPr>
          <w:rFonts w:ascii="Candara" w:eastAsia="Candara" w:hAnsi="Candara" w:cs="Candara"/>
          <w:sz w:val="24"/>
          <w:szCs w:val="24"/>
          <w:lang w:val="pt-PT"/>
        </w:rPr>
      </w:pPr>
      <w:r w:rsidRPr="00935C54">
        <w:rPr>
          <w:rFonts w:ascii="Candara" w:eastAsia="Candara" w:hAnsi="Candara" w:cs="Candara"/>
          <w:sz w:val="24"/>
          <w:szCs w:val="24"/>
          <w:lang w:val="pt-PT"/>
        </w:rPr>
        <w:t>Imam Sībawaih dan Ibrāhīm Mu</w:t>
      </w:r>
      <w:r w:rsidRPr="00935C54">
        <w:rPr>
          <w:rFonts w:ascii="Calibri" w:eastAsia="Candara" w:hAnsi="Calibri" w:cs="Calibri"/>
          <w:sz w:val="24"/>
          <w:szCs w:val="24"/>
          <w:lang w:val="pt-PT"/>
        </w:rPr>
        <w:t>ṣṭ</w:t>
      </w:r>
      <w:r w:rsidRPr="00935C54">
        <w:rPr>
          <w:rFonts w:ascii="Candara" w:eastAsia="Candara" w:hAnsi="Candara" w:cs="Candara"/>
          <w:sz w:val="24"/>
          <w:szCs w:val="24"/>
          <w:lang w:val="pt-PT"/>
        </w:rPr>
        <w:t>afā merupakan dua tokoh penting dalam sejarah perkembangan ilmu nahwu, namun keduanya hidup dalam konteks zaman yang sangat berbeda. Sībawaih hidup pada abad ke-2 Hijriah, saat bahasa Arab masih sangat murni dan digunakan secara alami oleh masyarakat Arab, sementara Ibrāhīm Mu</w:t>
      </w:r>
      <w:r w:rsidRPr="00935C54">
        <w:rPr>
          <w:rFonts w:ascii="Calibri" w:eastAsia="Candara" w:hAnsi="Calibri" w:cs="Calibri"/>
          <w:sz w:val="24"/>
          <w:szCs w:val="24"/>
          <w:lang w:val="pt-PT"/>
        </w:rPr>
        <w:t>ṣṭ</w:t>
      </w:r>
      <w:r w:rsidRPr="00935C54">
        <w:rPr>
          <w:rFonts w:ascii="Candara" w:eastAsia="Candara" w:hAnsi="Candara" w:cs="Candara"/>
          <w:sz w:val="24"/>
          <w:szCs w:val="24"/>
          <w:lang w:val="pt-PT"/>
        </w:rPr>
        <w:t>afā hidup pada abad ke-20 di tengah arus modernitas dan perkembangan ilmu linguistik kontemporer. Perbedaan konteks ini berpengaruh besar terhadap cara mereka membangun epistemologi ilmu nahwu, baik dari segi sumber, pendekatan, maupun tujuan penggunaannya.</w:t>
      </w:r>
    </w:p>
    <w:p w14:paraId="7AA88CD5" w14:textId="77777777" w:rsidR="00935C54" w:rsidRPr="00935C54" w:rsidRDefault="00935C54" w:rsidP="00935C54">
      <w:pPr>
        <w:ind w:firstLine="720"/>
        <w:jc w:val="both"/>
        <w:rPr>
          <w:rFonts w:ascii="Candara" w:eastAsia="Candara" w:hAnsi="Candara" w:cs="Candara"/>
          <w:sz w:val="24"/>
          <w:szCs w:val="24"/>
          <w:lang w:val="da-DK"/>
        </w:rPr>
      </w:pPr>
      <w:r w:rsidRPr="00935C54">
        <w:rPr>
          <w:rFonts w:ascii="Candara" w:eastAsia="Candara" w:hAnsi="Candara" w:cs="Candara"/>
          <w:sz w:val="24"/>
          <w:szCs w:val="24"/>
          <w:lang w:val="pt-PT"/>
        </w:rPr>
        <w:t xml:space="preserve">Epistemologi Imam Sībawaih bersumber dari penggunaan bahasa Arab yang otentik, seperti Al-Qur’an, syair jahiliah, dan ucapan orang Arab Badui yang dianggap fasih. </w:t>
      </w:r>
      <w:r w:rsidRPr="00935C54">
        <w:rPr>
          <w:rFonts w:ascii="Candara" w:eastAsia="Candara" w:hAnsi="Candara" w:cs="Candara"/>
          <w:sz w:val="24"/>
          <w:szCs w:val="24"/>
          <w:lang w:val="da-DK"/>
        </w:rPr>
        <w:t xml:space="preserve">Ia membangun sistem nahwu dengan pendekatan deduktif dan sangat mengandalkan riwayat serta analogi (qiyās). </w:t>
      </w:r>
      <w:r w:rsidRPr="00935C54">
        <w:rPr>
          <w:rFonts w:ascii="Candara" w:eastAsia="Candara" w:hAnsi="Candara" w:cs="Candara"/>
          <w:sz w:val="24"/>
          <w:szCs w:val="24"/>
          <w:lang w:val="da-DK"/>
        </w:rPr>
        <w:fldChar w:fldCharType="begin"/>
      </w:r>
      <w:r w:rsidRPr="00935C54">
        <w:rPr>
          <w:rFonts w:ascii="Candara" w:eastAsia="Candara" w:hAnsi="Candara" w:cs="Candara"/>
          <w:sz w:val="24"/>
          <w:szCs w:val="24"/>
          <w:lang w:val="da-DK"/>
        </w:rPr>
        <w:instrText xml:space="preserve"> ADDIN ZOTERO_ITEM CSL_CITATION {"citationID":"hL9KBZAy","properties":{"formattedCitation":"(Rabiul Farra Tazkiyatun, 2024)","plainCitation":"(Rabiul Farra Tazkiyatun, 2024)","noteIndex":0},"citationItems":[{"id":1950,"uris":["http://zotero.org/users/16580637/items/CBE4L8ET"],"itemData":{"id":1950,"type":"article-journal","abstract":"This research involves an expression of the mazhab of Nahwu Basrah and Kufah in the causes and consequences of divergence of perspective. The factors that led to the birth of the knowledge of Nahwu included the religious factor, which is the error of reading the Quran after the spread of Islam, and the factor of Arab nationalism (qawmiyyah 'arabiyyah), that is, the desire of the Arabs to maintain the authenticity of their language. So there appeared the two most important mazhab in the history of Nahu science, that is, Basrah and Kufah. The research method applied is a comparative approach using data from literary studies related to mazhab nahwu. This research is reviewed from sociolinguistic theory, where language is part of culture In interpreting the rules of nahwu, both mazhabs make valuable contributions to Arab linguistics. This research is expected to provide a comprehensive understanding of the divergence of nahwu mazhab perspectives and encourage further exploration in the evolution of nahwu science.","container-title":"Dewantara : Jurnal Pendidikan Sosial Humaniora","DOI":"10.30640/dewantara.v3i2.2639","ISSN":"2962-1127, 2962-1135","issue":"2","journalAbbreviation":"Dewantara","language":"id","license":"https://creativecommons.org/licenses/by-sa/4.0","page":"245-254","source":"DOI.org (Crossref)","title":"Divergensi Mazhab Nahwu: Kajian Komparatif Aliran Basrah-Kufah","title-short":"Divergensi Mazhab Nahwu","volume":"3","author":[{"literal":"Rabiul Farra Tazkiyatun"}],"issued":{"date-parts":[["2024",5,27]]}}}],"schema":"https://github.com/citation-style-language/schema/raw/master/csl-citation.json"} </w:instrText>
      </w:r>
      <w:r w:rsidRPr="00935C54">
        <w:rPr>
          <w:rFonts w:ascii="Candara" w:eastAsia="Candara" w:hAnsi="Candara" w:cs="Candara"/>
          <w:sz w:val="24"/>
          <w:szCs w:val="24"/>
          <w:lang w:val="da-DK"/>
        </w:rPr>
        <w:fldChar w:fldCharType="separate"/>
      </w:r>
      <w:r w:rsidRPr="00935C54">
        <w:rPr>
          <w:rFonts w:ascii="Candara" w:eastAsia="Candara" w:hAnsi="Candara" w:cs="Candara"/>
          <w:sz w:val="24"/>
          <w:szCs w:val="24"/>
          <w:lang w:val="da-DK"/>
        </w:rPr>
        <w:t>(Rabiul Farra Tazkiyatun, 2024)</w:t>
      </w:r>
      <w:r w:rsidRPr="00935C54">
        <w:rPr>
          <w:rFonts w:ascii="Candara" w:eastAsia="Candara" w:hAnsi="Candara" w:cs="Candara"/>
          <w:sz w:val="24"/>
          <w:szCs w:val="24"/>
          <w:lang w:val="pt-PT"/>
        </w:rPr>
        <w:fldChar w:fldCharType="end"/>
      </w:r>
      <w:r w:rsidRPr="00935C54">
        <w:rPr>
          <w:rFonts w:ascii="Candara" w:eastAsia="Candara" w:hAnsi="Candara" w:cs="Candara"/>
          <w:sz w:val="24"/>
          <w:szCs w:val="24"/>
          <w:lang w:val="da-DK"/>
        </w:rPr>
        <w:t xml:space="preserve"> Kaidah yang ia susun dalam </w:t>
      </w:r>
      <w:r w:rsidRPr="00935C54">
        <w:rPr>
          <w:rFonts w:ascii="Candara" w:eastAsia="Candara" w:hAnsi="Candara" w:cs="Candara"/>
          <w:i/>
          <w:iCs/>
          <w:sz w:val="24"/>
          <w:szCs w:val="24"/>
          <w:lang w:val="da-DK"/>
        </w:rPr>
        <w:t>Al-Kitāb</w:t>
      </w:r>
      <w:r w:rsidRPr="00935C54">
        <w:rPr>
          <w:rFonts w:ascii="Candara" w:eastAsia="Candara" w:hAnsi="Candara" w:cs="Candara"/>
          <w:sz w:val="24"/>
          <w:szCs w:val="24"/>
          <w:lang w:val="da-DK"/>
        </w:rPr>
        <w:t xml:space="preserve"> memiliki sifat universal dan filosofis, karena Sībawaih berupaya menjadikan ilmu nahwu sebagai disiplin ilmiah yang rasional, sistematis, dan memiliki dasar logis. Ilmu nahwu menurutnya adalah instrumen untuk menjaga kemurnian bahasa Arab dari penyimpangan.</w:t>
      </w:r>
    </w:p>
    <w:p w14:paraId="2F2FC6C2" w14:textId="77777777" w:rsidR="00935C54" w:rsidRPr="00935C54" w:rsidRDefault="00935C54" w:rsidP="00935C54">
      <w:pPr>
        <w:ind w:firstLine="720"/>
        <w:jc w:val="both"/>
        <w:rPr>
          <w:rFonts w:ascii="Candara" w:eastAsia="Candara" w:hAnsi="Candara" w:cs="Candara"/>
          <w:sz w:val="24"/>
          <w:szCs w:val="24"/>
          <w:lang w:val="da-DK"/>
        </w:rPr>
      </w:pPr>
      <w:r w:rsidRPr="00935C54">
        <w:rPr>
          <w:rFonts w:ascii="Candara" w:eastAsia="Candara" w:hAnsi="Candara" w:cs="Candara"/>
          <w:sz w:val="24"/>
          <w:szCs w:val="24"/>
          <w:lang w:val="da-DK"/>
        </w:rPr>
        <w:t>Sebaliknya, epistemologi Ibrāhīm Mu</w:t>
      </w:r>
      <w:r w:rsidRPr="00935C54">
        <w:rPr>
          <w:rFonts w:ascii="Calibri" w:eastAsia="Candara" w:hAnsi="Calibri" w:cs="Calibri"/>
          <w:sz w:val="24"/>
          <w:szCs w:val="24"/>
          <w:lang w:val="da-DK"/>
        </w:rPr>
        <w:t>ṣṭ</w:t>
      </w:r>
      <w:r w:rsidRPr="00935C54">
        <w:rPr>
          <w:rFonts w:ascii="Candara" w:eastAsia="Candara" w:hAnsi="Candara" w:cs="Candara"/>
          <w:sz w:val="24"/>
          <w:szCs w:val="24"/>
          <w:lang w:val="da-DK"/>
        </w:rPr>
        <w:t>afā lebih bersifat modern dan kontekstual. Ia tidak hanya merujuk pada teks-teks klasik, tetapi juga menggabungkannya dengan pendekatan linguistik Barat seperti strukturalisme dan fungsionalisme. Mu</w:t>
      </w:r>
      <w:r w:rsidRPr="00935C54">
        <w:rPr>
          <w:rFonts w:ascii="Calibri" w:eastAsia="Candara" w:hAnsi="Calibri" w:cs="Calibri"/>
          <w:sz w:val="24"/>
          <w:szCs w:val="24"/>
          <w:lang w:val="da-DK"/>
        </w:rPr>
        <w:t>ṣṭ</w:t>
      </w:r>
      <w:r w:rsidRPr="00935C54">
        <w:rPr>
          <w:rFonts w:ascii="Candara" w:eastAsia="Candara" w:hAnsi="Candara" w:cs="Candara"/>
          <w:sz w:val="24"/>
          <w:szCs w:val="24"/>
          <w:lang w:val="da-DK"/>
        </w:rPr>
        <w:t>afā menilai bahwa ilmu nahwu harus dapat menjawab kebutuhan praktis dalam pembelajaran bahasa, bukan hanya menjadi kumpulan teori yang sulit dicerna. Oleh karena itu, ia membangun epistemologi nahwu berdasarkan fungsi bahasa dalam komunikasi, bukan hanya bentuk gramatikalnya. Fokusnya adalah pada makna, konteks, dan kemudahan pemahaman.</w:t>
      </w:r>
    </w:p>
    <w:p w14:paraId="56E8D239" w14:textId="77777777" w:rsidR="00935C54" w:rsidRPr="00935C54" w:rsidRDefault="00935C54" w:rsidP="00935C54">
      <w:pPr>
        <w:ind w:firstLine="720"/>
        <w:jc w:val="both"/>
        <w:rPr>
          <w:rFonts w:ascii="Candara" w:eastAsia="Candara" w:hAnsi="Candara" w:cs="Candara"/>
          <w:sz w:val="24"/>
          <w:szCs w:val="24"/>
          <w:lang w:val="da-DK"/>
        </w:rPr>
      </w:pPr>
      <w:r w:rsidRPr="00935C54">
        <w:rPr>
          <w:rFonts w:ascii="Candara" w:eastAsia="Candara" w:hAnsi="Candara" w:cs="Candara"/>
          <w:sz w:val="24"/>
          <w:szCs w:val="24"/>
          <w:lang w:val="da-DK"/>
        </w:rPr>
        <w:t>Jika Sībawaih menekankan pada teori ‘āmil dan i’rab sebagai dasar struktur kalimat, maka Ibrāhīm Mu</w:t>
      </w:r>
      <w:r w:rsidRPr="00935C54">
        <w:rPr>
          <w:rFonts w:ascii="Calibri" w:eastAsia="Candara" w:hAnsi="Calibri" w:cs="Calibri"/>
          <w:sz w:val="24"/>
          <w:szCs w:val="24"/>
          <w:lang w:val="da-DK"/>
        </w:rPr>
        <w:t>ṣṭ</w:t>
      </w:r>
      <w:r w:rsidRPr="00935C54">
        <w:rPr>
          <w:rFonts w:ascii="Candara" w:eastAsia="Candara" w:hAnsi="Candara" w:cs="Candara"/>
          <w:sz w:val="24"/>
          <w:szCs w:val="24"/>
          <w:lang w:val="da-DK"/>
        </w:rPr>
        <w:t>afā mengkritisi teori tersebut karena dianggap terlalu rumit dan tidak efektif secara praktis. Ia menyederhanakan konsep i’rab hanya pada unsur yang memiliki makna fungsional, seperti dammah dan kasrah, serta menolak penggunaan fathah sebagai tanda i’rab karena tidak menyampaikan makna. Mu</w:t>
      </w:r>
      <w:r w:rsidRPr="00935C54">
        <w:rPr>
          <w:rFonts w:ascii="Calibri" w:eastAsia="Candara" w:hAnsi="Calibri" w:cs="Calibri"/>
          <w:sz w:val="24"/>
          <w:szCs w:val="24"/>
          <w:lang w:val="da-DK"/>
        </w:rPr>
        <w:t>ṣṭ</w:t>
      </w:r>
      <w:r w:rsidRPr="00935C54">
        <w:rPr>
          <w:rFonts w:ascii="Candara" w:eastAsia="Candara" w:hAnsi="Candara" w:cs="Candara"/>
          <w:sz w:val="24"/>
          <w:szCs w:val="24"/>
          <w:lang w:val="da-DK"/>
        </w:rPr>
        <w:t xml:space="preserve">afā juga mengubah istilah-istilah klasik agar lebih logis dan relevan dengan sintaksis modern, seperti penggantian mubtada’-khabar menjadi musnad ilaih-musnad. </w:t>
      </w:r>
      <w:r w:rsidRPr="00935C54">
        <w:rPr>
          <w:rFonts w:ascii="Candara" w:eastAsia="Candara" w:hAnsi="Candara" w:cs="Candara"/>
          <w:sz w:val="24"/>
          <w:szCs w:val="24"/>
          <w:lang w:val="da-DK"/>
        </w:rPr>
        <w:fldChar w:fldCharType="begin"/>
      </w:r>
      <w:r w:rsidRPr="00935C54">
        <w:rPr>
          <w:rFonts w:ascii="Candara" w:eastAsia="Candara" w:hAnsi="Candara" w:cs="Candara"/>
          <w:sz w:val="24"/>
          <w:szCs w:val="24"/>
          <w:lang w:val="da-DK"/>
        </w:rPr>
        <w:instrText xml:space="preserve"> ADDIN ZOTERO_ITEM CSL_CITATION {"citationID":"fys2zodL","properties":{"formattedCitation":"(Taufik, S. Ag., M.A, 2020)","plainCitation":"(Taufik, S. Ag., M.A, 2020)","noteIndex":0},"citationItems":[{"id":1940,"uris":["http://zotero.org/users/16580637/items/7XICMLR5"],"itemData":{"id":1940,"type":"article-journal","abstract":"Setidaknya ada tiga faktor yang melatari lahirnya nahwu : faktor religius, faktor sosilogis dan faktor politik. Dalam disiplin Ilmu Nahwu telah melahirkan ulama-ulama yang mumpuni dan memiliki karakter metodologis yang heterogen serta latar belakag ideologi kegamaan dan sosiokultural beragam pula. Mazhab nahwupun muncul diawali oleh mazhab Bashrah dan Kufah kemudian diikuti oleh Baghdad, Mesir dan Andalusia. Mazhab Bashrah dan Kufah sebagai mazhab utama lahir menginspirasi mazahab-mazhab lain, menambah khazanah intelektual bagi pengembangan ilmu Nahwu.","container-title":"AL-AF'IDAH: Jurnal Pendidikan Bahasa Arab dan Pengajarannya","DOI":"10.52266/al-afidah.v4i1.498","ISSN":"2655-3325, 2580-3484","issue":"1","journalAbbreviation":"AL-AF’IDAH J. Pendidik. Bhs. Arab dan Pengajarannya","language":"id","page":"65-87","source":"DOI.org (Crossref)","title":"Mazhab-Mazhab Ilmu Nahwu Dalam Sastra Arab Klasik","volume":"4","author":[{"family":"Taufik, S. Ag., M.A","given":"Taufik","suffix":"S. Ag., M.A"}],"issued":{"date-parts":[["2020",1,7]]}}}],"schema":"https://github.com/citation-style-language/schema/raw/master/csl-citation.json"} </w:instrText>
      </w:r>
      <w:r w:rsidRPr="00935C54">
        <w:rPr>
          <w:rFonts w:ascii="Candara" w:eastAsia="Candara" w:hAnsi="Candara" w:cs="Candara"/>
          <w:sz w:val="24"/>
          <w:szCs w:val="24"/>
          <w:lang w:val="da-DK"/>
        </w:rPr>
        <w:fldChar w:fldCharType="separate"/>
      </w:r>
      <w:r w:rsidRPr="00935C54">
        <w:rPr>
          <w:rFonts w:ascii="Candara" w:eastAsia="Candara" w:hAnsi="Candara" w:cs="Candara"/>
          <w:sz w:val="24"/>
          <w:szCs w:val="24"/>
          <w:lang w:val="da-DK"/>
        </w:rPr>
        <w:t>(Taufik, S. Ag., M.A, 2020)</w:t>
      </w:r>
      <w:r w:rsidRPr="00935C54">
        <w:rPr>
          <w:rFonts w:ascii="Candara" w:eastAsia="Candara" w:hAnsi="Candara" w:cs="Candara"/>
          <w:sz w:val="24"/>
          <w:szCs w:val="24"/>
          <w:lang w:val="pt-PT"/>
        </w:rPr>
        <w:fldChar w:fldCharType="end"/>
      </w:r>
    </w:p>
    <w:p w14:paraId="3CD5B511" w14:textId="77777777" w:rsidR="00935C54" w:rsidRPr="00935C54" w:rsidRDefault="00935C54" w:rsidP="00935C54">
      <w:pPr>
        <w:ind w:firstLine="720"/>
        <w:jc w:val="both"/>
        <w:rPr>
          <w:rFonts w:ascii="Candara" w:eastAsia="Candara" w:hAnsi="Candara" w:cs="Candara"/>
          <w:sz w:val="24"/>
          <w:szCs w:val="24"/>
          <w:lang w:val="da-DK"/>
        </w:rPr>
      </w:pPr>
      <w:r w:rsidRPr="00935C54">
        <w:rPr>
          <w:rFonts w:ascii="Candara" w:eastAsia="Candara" w:hAnsi="Candara" w:cs="Candara"/>
          <w:sz w:val="24"/>
          <w:szCs w:val="24"/>
          <w:lang w:val="da-DK"/>
        </w:rPr>
        <w:t>Dari segi tujuan, Imam Sībawaih ingin mempertahankan kemurnian bahasa Arab dan merumuskannya dalam bentuk kaidah baku yang dapat diwariskan lintas generasi. Sedangkan Ibrāhīm Mu</w:t>
      </w:r>
      <w:r w:rsidRPr="00935C54">
        <w:rPr>
          <w:rFonts w:ascii="Calibri" w:eastAsia="Candara" w:hAnsi="Calibri" w:cs="Calibri"/>
          <w:sz w:val="24"/>
          <w:szCs w:val="24"/>
          <w:lang w:val="da-DK"/>
        </w:rPr>
        <w:t>ṣṭ</w:t>
      </w:r>
      <w:r w:rsidRPr="00935C54">
        <w:rPr>
          <w:rFonts w:ascii="Candara" w:eastAsia="Candara" w:hAnsi="Candara" w:cs="Candara"/>
          <w:sz w:val="24"/>
          <w:szCs w:val="24"/>
          <w:lang w:val="da-DK"/>
        </w:rPr>
        <w:t>afā ingin mengadaptasi ilmu nahwu agar lebih aplikatif dan mudah digunakan dalam konteks pendidikan kontemporer. Dengan kata lain, Sībawaih adalah peletak dasar ilmu nahwu, sedangkan Mu</w:t>
      </w:r>
      <w:r w:rsidRPr="00935C54">
        <w:rPr>
          <w:rFonts w:ascii="Calibri" w:eastAsia="Candara" w:hAnsi="Calibri" w:cs="Calibri"/>
          <w:sz w:val="24"/>
          <w:szCs w:val="24"/>
          <w:lang w:val="da-DK"/>
        </w:rPr>
        <w:t>ṣṭ</w:t>
      </w:r>
      <w:r w:rsidRPr="00935C54">
        <w:rPr>
          <w:rFonts w:ascii="Candara" w:eastAsia="Candara" w:hAnsi="Candara" w:cs="Candara"/>
          <w:sz w:val="24"/>
          <w:szCs w:val="24"/>
          <w:lang w:val="da-DK"/>
        </w:rPr>
        <w:t>afā adalah pembaharu yang ingin menjadikan ilmu tersebut tetap hidup dan bermanfaat di tengah perubahan zaman.</w:t>
      </w:r>
    </w:p>
    <w:p w14:paraId="6D901747" w14:textId="77777777" w:rsidR="00935C54" w:rsidRPr="00935C54" w:rsidRDefault="00935C54" w:rsidP="00935C54">
      <w:pPr>
        <w:ind w:firstLine="720"/>
        <w:jc w:val="both"/>
        <w:rPr>
          <w:rFonts w:ascii="Candara" w:eastAsia="Candara" w:hAnsi="Candara" w:cs="Candara"/>
          <w:sz w:val="24"/>
          <w:szCs w:val="24"/>
          <w:lang w:val="da-DK"/>
        </w:rPr>
      </w:pPr>
      <w:r w:rsidRPr="00935C54">
        <w:rPr>
          <w:rFonts w:ascii="Candara" w:eastAsia="Candara" w:hAnsi="Candara" w:cs="Candara"/>
          <w:sz w:val="24"/>
          <w:szCs w:val="24"/>
          <w:lang w:val="da-DK"/>
        </w:rPr>
        <w:lastRenderedPageBreak/>
        <w:t>Kesimpulannya, perbedaan epistemologi antara Imam Sībawaih dan Ibrāhīm Mu</w:t>
      </w:r>
      <w:r w:rsidRPr="00935C54">
        <w:rPr>
          <w:rFonts w:ascii="Calibri" w:eastAsia="Candara" w:hAnsi="Calibri" w:cs="Calibri"/>
          <w:sz w:val="24"/>
          <w:szCs w:val="24"/>
          <w:lang w:val="da-DK"/>
        </w:rPr>
        <w:t>ṣṭ</w:t>
      </w:r>
      <w:r w:rsidRPr="00935C54">
        <w:rPr>
          <w:rFonts w:ascii="Candara" w:eastAsia="Candara" w:hAnsi="Candara" w:cs="Candara"/>
          <w:sz w:val="24"/>
          <w:szCs w:val="24"/>
          <w:lang w:val="da-DK"/>
        </w:rPr>
        <w:t>afā mencerminkan perbedaan orientasi: yang satu mengedepankan pelestarian, dan yang lain menekankan adaptasi. Keduanya memiliki kontribusi besar yang saling melengkapi. Sībawaih memberikan fondasi yang kokoh bagi ilmu nahwu, sementara Ibrāhīm Mu</w:t>
      </w:r>
      <w:r w:rsidRPr="00935C54">
        <w:rPr>
          <w:rFonts w:ascii="Calibri" w:eastAsia="Candara" w:hAnsi="Calibri" w:cs="Calibri"/>
          <w:sz w:val="24"/>
          <w:szCs w:val="24"/>
          <w:lang w:val="da-DK"/>
        </w:rPr>
        <w:t>ṣṭ</w:t>
      </w:r>
      <w:r w:rsidRPr="00935C54">
        <w:rPr>
          <w:rFonts w:ascii="Candara" w:eastAsia="Candara" w:hAnsi="Candara" w:cs="Candara"/>
          <w:sz w:val="24"/>
          <w:szCs w:val="24"/>
          <w:lang w:val="da-DK"/>
        </w:rPr>
        <w:t>afā menawarkan penyegaran dan relevansi bagi dunia pendidikan bahasa Arab modern. Komparasi ini menunjukkan bahwa ilmu tidak boleh statis, melainkan harus terus berkembang mengikuti dinamika zaman tanpa melupakan akarnya.</w:t>
      </w:r>
    </w:p>
    <w:p w14:paraId="3282B02F" w14:textId="77777777" w:rsidR="00B94D36" w:rsidRPr="00935C54" w:rsidRDefault="00B94D36" w:rsidP="00935C54">
      <w:pPr>
        <w:jc w:val="both"/>
        <w:rPr>
          <w:rFonts w:ascii="Candara" w:eastAsia="Candara" w:hAnsi="Candara" w:cs="Candara"/>
          <w:b/>
          <w:sz w:val="28"/>
          <w:szCs w:val="28"/>
          <w:lang w:val="da-DK"/>
        </w:rPr>
      </w:pPr>
    </w:p>
    <w:p w14:paraId="4DE8652D" w14:textId="5AADC913" w:rsidR="0085200C" w:rsidRPr="00935C54" w:rsidRDefault="0085200C" w:rsidP="0085200C">
      <w:pPr>
        <w:jc w:val="both"/>
        <w:rPr>
          <w:rFonts w:ascii="Candara" w:eastAsia="Candara" w:hAnsi="Candara" w:cs="Candara"/>
          <w:sz w:val="24"/>
          <w:szCs w:val="24"/>
          <w:lang w:val="da-DK"/>
        </w:rPr>
      </w:pPr>
      <w:r w:rsidRPr="00935C54">
        <w:rPr>
          <w:rFonts w:ascii="Candara" w:eastAsia="Candara" w:hAnsi="Candara" w:cs="Candara"/>
          <w:b/>
          <w:sz w:val="24"/>
          <w:szCs w:val="24"/>
          <w:lang w:val="da-DK"/>
        </w:rPr>
        <w:t xml:space="preserve">Simpulan </w:t>
      </w:r>
    </w:p>
    <w:p w14:paraId="5126F748" w14:textId="730B23AD" w:rsidR="00935C54" w:rsidRPr="00935C54" w:rsidRDefault="00935C54" w:rsidP="00935C54">
      <w:pPr>
        <w:ind w:firstLine="720"/>
        <w:jc w:val="both"/>
        <w:rPr>
          <w:rFonts w:ascii="Candara" w:eastAsia="Candara" w:hAnsi="Candara" w:cs="Candara"/>
          <w:sz w:val="24"/>
          <w:szCs w:val="24"/>
          <w:lang w:val="da-DK"/>
        </w:rPr>
      </w:pPr>
      <w:r w:rsidRPr="00935C54">
        <w:rPr>
          <w:rFonts w:ascii="Candara" w:eastAsia="Candara" w:hAnsi="Candara" w:cs="Candara"/>
          <w:sz w:val="24"/>
          <w:szCs w:val="24"/>
          <w:lang w:val="da-DK"/>
        </w:rPr>
        <w:t>Berdasarkan hasil penelitian, dapat disimpulkan bahwa pemikiran Ibrāhīm Mu</w:t>
      </w:r>
      <w:r w:rsidRPr="00935C54">
        <w:rPr>
          <w:rFonts w:ascii="Calibri" w:eastAsia="Candara" w:hAnsi="Calibri" w:cs="Calibri"/>
          <w:sz w:val="24"/>
          <w:szCs w:val="24"/>
          <w:lang w:val="da-DK"/>
        </w:rPr>
        <w:t>ṣṭ</w:t>
      </w:r>
      <w:r w:rsidRPr="00935C54">
        <w:rPr>
          <w:rFonts w:ascii="Candara" w:eastAsia="Candara" w:hAnsi="Candara" w:cs="Candara"/>
          <w:sz w:val="24"/>
          <w:szCs w:val="24"/>
          <w:lang w:val="da-DK"/>
        </w:rPr>
        <w:t>afā memiliki kontribusi signifikan dalam mendorong transformasi ilmu nahwu dari pendekatan klasik menuju paradigma yang lebih modern, fungsional, dan aplikatif. Melalui karya utamanya I</w:t>
      </w:r>
      <w:r w:rsidRPr="00935C54">
        <w:rPr>
          <w:rFonts w:ascii="Calibri" w:eastAsia="Candara" w:hAnsi="Calibri" w:cs="Calibri"/>
          <w:sz w:val="24"/>
          <w:szCs w:val="24"/>
          <w:lang w:val="da-DK"/>
        </w:rPr>
        <w:t>ḥ</w:t>
      </w:r>
      <w:r w:rsidRPr="00935C54">
        <w:rPr>
          <w:rFonts w:ascii="Candara" w:eastAsia="Candara" w:hAnsi="Candara" w:cs="Candara"/>
          <w:sz w:val="24"/>
          <w:szCs w:val="24"/>
          <w:lang w:val="da-DK"/>
        </w:rPr>
        <w:t>yā’ an-Na</w:t>
      </w:r>
      <w:r w:rsidRPr="00935C54">
        <w:rPr>
          <w:rFonts w:ascii="Calibri" w:eastAsia="Candara" w:hAnsi="Calibri" w:cs="Calibri"/>
          <w:sz w:val="24"/>
          <w:szCs w:val="24"/>
          <w:lang w:val="da-DK"/>
        </w:rPr>
        <w:t>ḥ</w:t>
      </w:r>
      <w:r w:rsidRPr="00935C54">
        <w:rPr>
          <w:rFonts w:ascii="Candara" w:eastAsia="Candara" w:hAnsi="Candara" w:cs="Candara"/>
          <w:sz w:val="24"/>
          <w:szCs w:val="24"/>
          <w:lang w:val="da-DK"/>
        </w:rPr>
        <w:t>wi, ia tidak hanya melontarkan kritik terhadap struktur dan sistematika ilmu nahwu klasik, tetapi juga menawarkan konsep dan model pembelajaran yang lebih sederhana dan kontekstual. Kritik utamanya mencakup kerumitan teori ‘āmil, definisi nahwu yang sempit, serta struktur i’rab yang dinilai tidak relevan secara praktis.</w:t>
      </w:r>
    </w:p>
    <w:p w14:paraId="677E3DDF" w14:textId="5EE977F2" w:rsidR="0085200C" w:rsidRPr="00D96B67" w:rsidRDefault="00935C54" w:rsidP="00935C54">
      <w:pPr>
        <w:ind w:firstLine="720"/>
        <w:jc w:val="both"/>
        <w:rPr>
          <w:rFonts w:ascii="Candara" w:eastAsia="Candara" w:hAnsi="Candara" w:cs="Candara"/>
          <w:sz w:val="24"/>
          <w:szCs w:val="24"/>
          <w:lang w:val="da-DK"/>
        </w:rPr>
      </w:pPr>
      <w:r w:rsidRPr="00935C54">
        <w:rPr>
          <w:rFonts w:ascii="Candara" w:eastAsia="Candara" w:hAnsi="Candara" w:cs="Candara"/>
          <w:sz w:val="24"/>
          <w:szCs w:val="24"/>
          <w:lang w:val="da-DK"/>
        </w:rPr>
        <w:t>Dari sisi epistemologi, Ibrāhīm Mu</w:t>
      </w:r>
      <w:r w:rsidRPr="00935C54">
        <w:rPr>
          <w:rFonts w:ascii="Calibri" w:eastAsia="Candara" w:hAnsi="Calibri" w:cs="Calibri"/>
          <w:sz w:val="24"/>
          <w:szCs w:val="24"/>
          <w:lang w:val="da-DK"/>
        </w:rPr>
        <w:t>ṣṭ</w:t>
      </w:r>
      <w:r w:rsidRPr="00935C54">
        <w:rPr>
          <w:rFonts w:ascii="Candara" w:eastAsia="Candara" w:hAnsi="Candara" w:cs="Candara"/>
          <w:sz w:val="24"/>
          <w:szCs w:val="24"/>
          <w:lang w:val="da-DK"/>
        </w:rPr>
        <w:t>afā berusaha membangun ilmu nahwu berdasarkan pada fungsi dan makna bahasa sebagai alat komunikasi, bukan sekadar kumpulan aturan gramatikal. Ia menggeser orientasi ilmu nahwu dari pendekatan tekstual-doktrinal ke arah kontekstual-aplikatif, dengan mengedepankan hubungan predikatif antar kata dalam kalimat, serta menyusun ulang terminologi dan sistematika penyajian materi nahwu. Pendekatan ini menjadikan ilmu nahwu lebih mudah diakses dan dipahami oleh generasi pembelajar bahasa Arab kontemporer.</w:t>
      </w:r>
      <w:r w:rsidR="0085200C" w:rsidRPr="00D96B67">
        <w:rPr>
          <w:rFonts w:ascii="Candara" w:eastAsia="Candara" w:hAnsi="Candara" w:cs="Candara"/>
          <w:sz w:val="24"/>
          <w:szCs w:val="24"/>
          <w:lang w:val="da-DK"/>
        </w:rPr>
        <w:t xml:space="preserve"> </w:t>
      </w:r>
    </w:p>
    <w:p w14:paraId="71187BA3" w14:textId="77777777" w:rsidR="0085200C" w:rsidRPr="00D96B67" w:rsidRDefault="0085200C" w:rsidP="0085200C">
      <w:pPr>
        <w:rPr>
          <w:rFonts w:ascii="Candara" w:eastAsia="Candara" w:hAnsi="Candara" w:cs="Candara"/>
          <w:b/>
          <w:sz w:val="24"/>
          <w:szCs w:val="24"/>
          <w:lang w:val="da-DK"/>
        </w:rPr>
      </w:pPr>
    </w:p>
    <w:p w14:paraId="1E60A698" w14:textId="32BBECDF" w:rsidR="0085200C" w:rsidRPr="00935C54" w:rsidRDefault="0085200C" w:rsidP="00935C54">
      <w:pPr>
        <w:jc w:val="both"/>
        <w:rPr>
          <w:rFonts w:ascii="Candara" w:eastAsia="Candara" w:hAnsi="Candara" w:cs="Candara"/>
          <w:b/>
          <w:color w:val="4F81BD"/>
          <w:sz w:val="24"/>
          <w:szCs w:val="24"/>
          <w:lang w:val="da-DK"/>
        </w:rPr>
      </w:pPr>
      <w:r w:rsidRPr="00935C54">
        <w:rPr>
          <w:rFonts w:ascii="Candara" w:eastAsia="Candara" w:hAnsi="Candara" w:cs="Candara"/>
          <w:b/>
          <w:sz w:val="24"/>
          <w:szCs w:val="24"/>
          <w:lang w:val="da-DK"/>
        </w:rPr>
        <w:t>Referensi</w:t>
      </w:r>
    </w:p>
    <w:p w14:paraId="1789BE52" w14:textId="77777777" w:rsidR="00935C54" w:rsidRPr="00935C54" w:rsidRDefault="00935C54" w:rsidP="00935C54">
      <w:pPr>
        <w:spacing w:line="276" w:lineRule="auto"/>
        <w:ind w:left="709" w:hanging="709"/>
        <w:jc w:val="both"/>
        <w:rPr>
          <w:rFonts w:ascii="Garamond" w:hAnsi="Garamond"/>
          <w:sz w:val="24"/>
          <w:szCs w:val="24"/>
          <w:lang w:val="ms"/>
        </w:rPr>
      </w:pPr>
      <w:r w:rsidRPr="00935C54">
        <w:rPr>
          <w:rFonts w:ascii="Garamond" w:hAnsi="Garamond"/>
          <w:sz w:val="24"/>
          <w:szCs w:val="24"/>
          <w:lang w:val="ms"/>
        </w:rPr>
        <w:fldChar w:fldCharType="begin"/>
      </w:r>
      <w:r w:rsidRPr="00935C54">
        <w:rPr>
          <w:rFonts w:ascii="Garamond" w:hAnsi="Garamond"/>
          <w:sz w:val="24"/>
          <w:szCs w:val="24"/>
          <w:lang w:val="ms"/>
        </w:rPr>
        <w:instrText xml:space="preserve"> ADDIN ZOTERO_BIBL {"uncited":[],"omitted":[],"custom":[]} CSL_BIBLIOGRAPHY </w:instrText>
      </w:r>
      <w:r w:rsidRPr="00935C54">
        <w:rPr>
          <w:rFonts w:ascii="Garamond" w:hAnsi="Garamond"/>
          <w:sz w:val="24"/>
          <w:szCs w:val="24"/>
          <w:lang w:val="ms"/>
        </w:rPr>
        <w:fldChar w:fldCharType="separate"/>
      </w:r>
      <w:r w:rsidRPr="00935C54">
        <w:rPr>
          <w:rFonts w:ascii="Garamond" w:hAnsi="Garamond"/>
          <w:sz w:val="24"/>
          <w:szCs w:val="24"/>
          <w:lang w:val="ms"/>
        </w:rPr>
        <w:t xml:space="preserve">Anwar, K. (2021). Nahwu Sufistik: Kajian Tasawwuf dalam Kitab Nahw Al-Qulub Karya Imam Al-Qusyairi. </w:t>
      </w:r>
      <w:r w:rsidRPr="00935C54">
        <w:rPr>
          <w:rFonts w:ascii="Garamond" w:hAnsi="Garamond"/>
          <w:i/>
          <w:iCs/>
          <w:sz w:val="24"/>
          <w:szCs w:val="24"/>
          <w:lang w:val="ms"/>
        </w:rPr>
        <w:t>Tsaqofiya</w:t>
      </w:r>
      <w:r w:rsidRPr="00935C54">
        <w:rPr>
          <w:rFonts w:ascii="Times New Roman" w:hAnsi="Times New Roman" w:cs="Times New Roman"/>
          <w:i/>
          <w:iCs/>
          <w:sz w:val="24"/>
          <w:szCs w:val="24"/>
          <w:lang w:val="ms"/>
        </w:rPr>
        <w:t> </w:t>
      </w:r>
      <w:r w:rsidRPr="00935C54">
        <w:rPr>
          <w:rFonts w:ascii="Garamond" w:hAnsi="Garamond"/>
          <w:i/>
          <w:iCs/>
          <w:sz w:val="24"/>
          <w:szCs w:val="24"/>
          <w:lang w:val="ms"/>
        </w:rPr>
        <w:t>: Jurnal Pendidikan Bahasa dan Sastra Arab</w:t>
      </w:r>
      <w:r w:rsidRPr="00935C54">
        <w:rPr>
          <w:rFonts w:ascii="Garamond" w:hAnsi="Garamond"/>
          <w:sz w:val="24"/>
          <w:szCs w:val="24"/>
          <w:lang w:val="ms"/>
        </w:rPr>
        <w:t xml:space="preserve">, </w:t>
      </w:r>
      <w:r w:rsidRPr="00935C54">
        <w:rPr>
          <w:rFonts w:ascii="Garamond" w:hAnsi="Garamond"/>
          <w:i/>
          <w:iCs/>
          <w:sz w:val="24"/>
          <w:szCs w:val="24"/>
          <w:lang w:val="ms"/>
        </w:rPr>
        <w:t>3</w:t>
      </w:r>
      <w:r w:rsidRPr="00935C54">
        <w:rPr>
          <w:rFonts w:ascii="Garamond" w:hAnsi="Garamond"/>
          <w:sz w:val="24"/>
          <w:szCs w:val="24"/>
          <w:lang w:val="ms"/>
        </w:rPr>
        <w:t>(2), 158–175. https://doi.org/10.21154/tsaqofiya.v3i2.74</w:t>
      </w:r>
    </w:p>
    <w:p w14:paraId="1A571F37" w14:textId="77777777" w:rsidR="00935C54" w:rsidRPr="00935C54" w:rsidRDefault="00935C54" w:rsidP="00935C54">
      <w:pPr>
        <w:spacing w:line="276" w:lineRule="auto"/>
        <w:ind w:left="709" w:hanging="709"/>
        <w:jc w:val="both"/>
        <w:rPr>
          <w:rFonts w:ascii="Garamond" w:hAnsi="Garamond"/>
          <w:sz w:val="24"/>
          <w:szCs w:val="24"/>
          <w:lang w:val="ms"/>
        </w:rPr>
      </w:pPr>
      <w:r w:rsidRPr="00935C54">
        <w:rPr>
          <w:rFonts w:ascii="Garamond" w:hAnsi="Garamond"/>
          <w:sz w:val="24"/>
          <w:szCs w:val="24"/>
          <w:lang w:val="ms"/>
        </w:rPr>
        <w:t xml:space="preserve">Farid Ahmad Zulqornaen. (2025). Pengaruh Khalifah Ali Bin Abi Thalib Dalam Lahirnya Ilmu Nahwu: Studi Sejarah Awal Pembentukan Kaidah Bahasa Arab. </w:t>
      </w:r>
      <w:r w:rsidRPr="00935C54">
        <w:rPr>
          <w:rFonts w:ascii="Garamond" w:hAnsi="Garamond"/>
          <w:i/>
          <w:iCs/>
          <w:sz w:val="24"/>
          <w:szCs w:val="24"/>
          <w:lang w:val="ms"/>
        </w:rPr>
        <w:t>Jurnal Riset Multidisiplin Edukasi</w:t>
      </w:r>
      <w:r w:rsidRPr="00935C54">
        <w:rPr>
          <w:rFonts w:ascii="Garamond" w:hAnsi="Garamond"/>
          <w:sz w:val="24"/>
          <w:szCs w:val="24"/>
          <w:lang w:val="ms"/>
        </w:rPr>
        <w:t xml:space="preserve">, </w:t>
      </w:r>
      <w:r w:rsidRPr="00935C54">
        <w:rPr>
          <w:rFonts w:ascii="Garamond" w:hAnsi="Garamond"/>
          <w:i/>
          <w:iCs/>
          <w:sz w:val="24"/>
          <w:szCs w:val="24"/>
          <w:lang w:val="ms"/>
        </w:rPr>
        <w:t>2</w:t>
      </w:r>
      <w:r w:rsidRPr="00935C54">
        <w:rPr>
          <w:rFonts w:ascii="Garamond" w:hAnsi="Garamond"/>
          <w:sz w:val="24"/>
          <w:szCs w:val="24"/>
          <w:lang w:val="ms"/>
        </w:rPr>
        <w:t>(3), 275–290. https://doi.org/10.71282/jurmie.v2i3.206</w:t>
      </w:r>
    </w:p>
    <w:p w14:paraId="1B554924" w14:textId="77777777" w:rsidR="00935C54" w:rsidRPr="00935C54" w:rsidRDefault="00935C54" w:rsidP="00935C54">
      <w:pPr>
        <w:spacing w:line="276" w:lineRule="auto"/>
        <w:ind w:left="709" w:hanging="709"/>
        <w:jc w:val="both"/>
        <w:rPr>
          <w:rFonts w:ascii="Garamond" w:hAnsi="Garamond"/>
          <w:sz w:val="24"/>
          <w:szCs w:val="24"/>
          <w:lang w:val="ms"/>
        </w:rPr>
      </w:pPr>
      <w:r w:rsidRPr="00935C54">
        <w:rPr>
          <w:rFonts w:ascii="Garamond" w:hAnsi="Garamond"/>
          <w:sz w:val="24"/>
          <w:szCs w:val="24"/>
          <w:lang w:val="ms"/>
        </w:rPr>
        <w:t xml:space="preserve">Holilulloh, A. (2020). </w:t>
      </w:r>
      <w:r w:rsidRPr="00935C54">
        <w:rPr>
          <w:rFonts w:ascii="Garamond" w:hAnsi="Garamond"/>
          <w:i/>
          <w:iCs/>
          <w:sz w:val="24"/>
          <w:szCs w:val="24"/>
          <w:lang w:val="ms"/>
        </w:rPr>
        <w:t>Kontribusi Pemikiran Nahwu Imam Sībawaih dan Ibrāhīm Mu</w:t>
      </w:r>
      <w:r w:rsidRPr="00935C54">
        <w:rPr>
          <w:rFonts w:ascii="Cambria" w:hAnsi="Cambria" w:cs="Cambria"/>
          <w:i/>
          <w:iCs/>
          <w:sz w:val="24"/>
          <w:szCs w:val="24"/>
          <w:lang w:val="ms"/>
        </w:rPr>
        <w:t>ṣṭ</w:t>
      </w:r>
      <w:r w:rsidRPr="00935C54">
        <w:rPr>
          <w:rFonts w:ascii="Garamond" w:hAnsi="Garamond"/>
          <w:i/>
          <w:iCs/>
          <w:sz w:val="24"/>
          <w:szCs w:val="24"/>
          <w:lang w:val="ms"/>
        </w:rPr>
        <w:t>afā dalam Linguistik Arab (Studi Komparatif Epistemologis)</w:t>
      </w:r>
      <w:r w:rsidRPr="00935C54">
        <w:rPr>
          <w:rFonts w:ascii="Garamond" w:hAnsi="Garamond"/>
          <w:sz w:val="24"/>
          <w:szCs w:val="24"/>
          <w:lang w:val="ms"/>
        </w:rPr>
        <w:t xml:space="preserve">. </w:t>
      </w:r>
      <w:r w:rsidRPr="00935C54">
        <w:rPr>
          <w:rFonts w:ascii="Garamond" w:hAnsi="Garamond"/>
          <w:i/>
          <w:iCs/>
          <w:sz w:val="24"/>
          <w:szCs w:val="24"/>
          <w:lang w:val="ms"/>
        </w:rPr>
        <w:t>8</w:t>
      </w:r>
      <w:r w:rsidRPr="00935C54">
        <w:rPr>
          <w:rFonts w:ascii="Garamond" w:hAnsi="Garamond"/>
          <w:sz w:val="24"/>
          <w:szCs w:val="24"/>
          <w:lang w:val="ms"/>
        </w:rPr>
        <w:t>.</w:t>
      </w:r>
    </w:p>
    <w:p w14:paraId="31E39A7C" w14:textId="77777777" w:rsidR="00935C54" w:rsidRPr="00935C54" w:rsidRDefault="00935C54" w:rsidP="00935C54">
      <w:pPr>
        <w:spacing w:line="276" w:lineRule="auto"/>
        <w:ind w:left="709" w:hanging="709"/>
        <w:jc w:val="both"/>
        <w:rPr>
          <w:rFonts w:ascii="Garamond" w:hAnsi="Garamond"/>
          <w:sz w:val="24"/>
          <w:szCs w:val="24"/>
          <w:lang w:val="ms"/>
        </w:rPr>
      </w:pPr>
      <w:r w:rsidRPr="00935C54">
        <w:rPr>
          <w:rFonts w:ascii="Garamond" w:hAnsi="Garamond"/>
          <w:sz w:val="24"/>
          <w:szCs w:val="24"/>
          <w:lang w:val="ms"/>
        </w:rPr>
        <w:t xml:space="preserve">Ifadah, U. F. (2023). Analisis Bentuk Variasi Makna Kalam Insyā’ </w:t>
      </w:r>
      <w:r w:rsidRPr="00935C54">
        <w:rPr>
          <w:rFonts w:ascii="Cambria" w:hAnsi="Cambria" w:cs="Cambria"/>
          <w:sz w:val="24"/>
          <w:szCs w:val="24"/>
          <w:lang w:val="ms"/>
        </w:rPr>
        <w:t>Ṭ</w:t>
      </w:r>
      <w:r w:rsidRPr="00935C54">
        <w:rPr>
          <w:rFonts w:ascii="Garamond" w:hAnsi="Garamond"/>
          <w:sz w:val="24"/>
          <w:szCs w:val="24"/>
          <w:lang w:val="ms"/>
        </w:rPr>
        <w:t xml:space="preserve">alabī dalam Surat al-Anfal. </w:t>
      </w:r>
      <w:r w:rsidRPr="00935C54">
        <w:rPr>
          <w:rFonts w:ascii="Garamond" w:hAnsi="Garamond"/>
          <w:i/>
          <w:iCs/>
          <w:sz w:val="24"/>
          <w:szCs w:val="24"/>
          <w:lang w:val="ms"/>
        </w:rPr>
        <w:t>Tamaddun: Jurnal Kebudayaan dan Sastra Islam</w:t>
      </w:r>
      <w:r w:rsidRPr="00935C54">
        <w:rPr>
          <w:rFonts w:ascii="Garamond" w:hAnsi="Garamond"/>
          <w:sz w:val="24"/>
          <w:szCs w:val="24"/>
          <w:lang w:val="ms"/>
        </w:rPr>
        <w:t xml:space="preserve">, </w:t>
      </w:r>
      <w:r w:rsidRPr="00935C54">
        <w:rPr>
          <w:rFonts w:ascii="Garamond" w:hAnsi="Garamond"/>
          <w:i/>
          <w:iCs/>
          <w:sz w:val="24"/>
          <w:szCs w:val="24"/>
          <w:lang w:val="ms"/>
        </w:rPr>
        <w:t>22</w:t>
      </w:r>
      <w:r w:rsidRPr="00935C54">
        <w:rPr>
          <w:rFonts w:ascii="Garamond" w:hAnsi="Garamond"/>
          <w:sz w:val="24"/>
          <w:szCs w:val="24"/>
          <w:lang w:val="ms"/>
        </w:rPr>
        <w:t>(2), 145–157. https://doi.org/10.19109/tamaddun.v22i2.15273</w:t>
      </w:r>
    </w:p>
    <w:p w14:paraId="03AA4790" w14:textId="77777777" w:rsidR="00935C54" w:rsidRPr="00935C54" w:rsidRDefault="00935C54" w:rsidP="00935C54">
      <w:pPr>
        <w:spacing w:line="276" w:lineRule="auto"/>
        <w:ind w:left="709" w:hanging="709"/>
        <w:jc w:val="both"/>
        <w:rPr>
          <w:rFonts w:ascii="Garamond" w:hAnsi="Garamond"/>
          <w:sz w:val="24"/>
          <w:szCs w:val="24"/>
          <w:lang w:val="ms"/>
        </w:rPr>
      </w:pPr>
      <w:r w:rsidRPr="00935C54">
        <w:rPr>
          <w:rFonts w:ascii="Garamond" w:hAnsi="Garamond"/>
          <w:sz w:val="24"/>
          <w:szCs w:val="24"/>
          <w:lang w:val="ms"/>
        </w:rPr>
        <w:t xml:space="preserve">Permana, F. (2018). PENDIDIKAN ISLAM DAN PENGAJARAN BAHASA ARAB PADA MASA DINASTI UMAYYAH. </w:t>
      </w:r>
      <w:r w:rsidRPr="00935C54">
        <w:rPr>
          <w:rFonts w:ascii="Garamond" w:hAnsi="Garamond"/>
          <w:i/>
          <w:iCs/>
          <w:sz w:val="24"/>
          <w:szCs w:val="24"/>
          <w:lang w:val="ms"/>
        </w:rPr>
        <w:t>Al Qalam: Jurnal Ilmiah Keagamaan dan Kemasyarakatan</w:t>
      </w:r>
      <w:r w:rsidRPr="00935C54">
        <w:rPr>
          <w:rFonts w:ascii="Garamond" w:hAnsi="Garamond"/>
          <w:sz w:val="24"/>
          <w:szCs w:val="24"/>
          <w:lang w:val="ms"/>
        </w:rPr>
        <w:t>, 47. https://doi.org/10.35931/aq.v0i0.74</w:t>
      </w:r>
    </w:p>
    <w:p w14:paraId="368821DA" w14:textId="77777777" w:rsidR="00935C54" w:rsidRPr="00935C54" w:rsidRDefault="00935C54" w:rsidP="00935C54">
      <w:pPr>
        <w:spacing w:line="276" w:lineRule="auto"/>
        <w:ind w:left="709" w:hanging="709"/>
        <w:jc w:val="both"/>
        <w:rPr>
          <w:rFonts w:ascii="Garamond" w:hAnsi="Garamond"/>
          <w:sz w:val="24"/>
          <w:szCs w:val="24"/>
          <w:lang w:val="ms"/>
        </w:rPr>
      </w:pPr>
      <w:r w:rsidRPr="00935C54">
        <w:rPr>
          <w:rFonts w:ascii="Garamond" w:hAnsi="Garamond"/>
          <w:sz w:val="24"/>
          <w:szCs w:val="24"/>
          <w:lang w:val="ms"/>
        </w:rPr>
        <w:t xml:space="preserve">Rabiul Farra Tazkiyatun. (2024). Divergensi Mazhab Nahwu: Kajian Komparatif Aliran Basrah-Kufah. </w:t>
      </w:r>
      <w:r w:rsidRPr="00935C54">
        <w:rPr>
          <w:rFonts w:ascii="Garamond" w:hAnsi="Garamond"/>
          <w:i/>
          <w:iCs/>
          <w:sz w:val="24"/>
          <w:szCs w:val="24"/>
          <w:lang w:val="ms"/>
        </w:rPr>
        <w:t>Dewantara</w:t>
      </w:r>
      <w:r w:rsidRPr="00935C54">
        <w:rPr>
          <w:rFonts w:ascii="Times New Roman" w:hAnsi="Times New Roman" w:cs="Times New Roman"/>
          <w:i/>
          <w:iCs/>
          <w:sz w:val="24"/>
          <w:szCs w:val="24"/>
          <w:lang w:val="ms"/>
        </w:rPr>
        <w:t> </w:t>
      </w:r>
      <w:r w:rsidRPr="00935C54">
        <w:rPr>
          <w:rFonts w:ascii="Garamond" w:hAnsi="Garamond"/>
          <w:i/>
          <w:iCs/>
          <w:sz w:val="24"/>
          <w:szCs w:val="24"/>
          <w:lang w:val="ms"/>
        </w:rPr>
        <w:t>: Jurnal Pendidikan Sosial Humaniora</w:t>
      </w:r>
      <w:r w:rsidRPr="00935C54">
        <w:rPr>
          <w:rFonts w:ascii="Garamond" w:hAnsi="Garamond"/>
          <w:sz w:val="24"/>
          <w:szCs w:val="24"/>
          <w:lang w:val="ms"/>
        </w:rPr>
        <w:t xml:space="preserve">, </w:t>
      </w:r>
      <w:r w:rsidRPr="00935C54">
        <w:rPr>
          <w:rFonts w:ascii="Garamond" w:hAnsi="Garamond"/>
          <w:i/>
          <w:iCs/>
          <w:sz w:val="24"/>
          <w:szCs w:val="24"/>
          <w:lang w:val="ms"/>
        </w:rPr>
        <w:t>3</w:t>
      </w:r>
      <w:r w:rsidRPr="00935C54">
        <w:rPr>
          <w:rFonts w:ascii="Garamond" w:hAnsi="Garamond"/>
          <w:sz w:val="24"/>
          <w:szCs w:val="24"/>
          <w:lang w:val="ms"/>
        </w:rPr>
        <w:t>(2), 245–254. https://doi.org/10.30640/dewantara.v3i2.2639</w:t>
      </w:r>
    </w:p>
    <w:p w14:paraId="1F876710" w14:textId="77777777" w:rsidR="00935C54" w:rsidRPr="00935C54" w:rsidRDefault="00935C54" w:rsidP="00935C54">
      <w:pPr>
        <w:spacing w:line="276" w:lineRule="auto"/>
        <w:ind w:left="709" w:hanging="709"/>
        <w:jc w:val="both"/>
        <w:rPr>
          <w:rFonts w:ascii="Garamond" w:hAnsi="Garamond"/>
          <w:sz w:val="24"/>
          <w:szCs w:val="24"/>
          <w:lang w:val="ms"/>
        </w:rPr>
      </w:pPr>
      <w:r w:rsidRPr="00935C54">
        <w:rPr>
          <w:rFonts w:ascii="Garamond" w:hAnsi="Garamond"/>
          <w:sz w:val="24"/>
          <w:szCs w:val="24"/>
          <w:lang w:val="ms"/>
        </w:rPr>
        <w:t xml:space="preserve">Ramadhan, A. T. (2020). Sejarah Generasi Awal Madrasah Nahwu Bashrah dan Pengaruhnya terhadap Metode Pengajaran Nahwu di Mesir. </w:t>
      </w:r>
      <w:r w:rsidRPr="00935C54">
        <w:rPr>
          <w:rFonts w:ascii="Garamond" w:hAnsi="Garamond"/>
          <w:i/>
          <w:iCs/>
          <w:sz w:val="24"/>
          <w:szCs w:val="24"/>
          <w:lang w:val="ms"/>
        </w:rPr>
        <w:t>Jurnal Intelektualita: Keislaman, Sosial dan Sains</w:t>
      </w:r>
      <w:r w:rsidRPr="00935C54">
        <w:rPr>
          <w:rFonts w:ascii="Garamond" w:hAnsi="Garamond"/>
          <w:sz w:val="24"/>
          <w:szCs w:val="24"/>
          <w:lang w:val="ms"/>
        </w:rPr>
        <w:t xml:space="preserve">, </w:t>
      </w:r>
      <w:r w:rsidRPr="00935C54">
        <w:rPr>
          <w:rFonts w:ascii="Garamond" w:hAnsi="Garamond"/>
          <w:i/>
          <w:iCs/>
          <w:sz w:val="24"/>
          <w:szCs w:val="24"/>
          <w:lang w:val="ms"/>
        </w:rPr>
        <w:t>9</w:t>
      </w:r>
      <w:r w:rsidRPr="00935C54">
        <w:rPr>
          <w:rFonts w:ascii="Garamond" w:hAnsi="Garamond"/>
          <w:sz w:val="24"/>
          <w:szCs w:val="24"/>
          <w:lang w:val="ms"/>
        </w:rPr>
        <w:t>(2), 243–256. https://doi.org/10.19109/intelektualita.v9i2.5634</w:t>
      </w:r>
    </w:p>
    <w:p w14:paraId="28899380" w14:textId="77777777" w:rsidR="00935C54" w:rsidRPr="00935C54" w:rsidRDefault="00935C54" w:rsidP="00935C54">
      <w:pPr>
        <w:spacing w:line="276" w:lineRule="auto"/>
        <w:ind w:left="709" w:hanging="709"/>
        <w:jc w:val="both"/>
        <w:rPr>
          <w:rFonts w:ascii="Garamond" w:hAnsi="Garamond"/>
          <w:sz w:val="24"/>
          <w:szCs w:val="24"/>
          <w:lang w:val="ms"/>
        </w:rPr>
      </w:pPr>
    </w:p>
    <w:p w14:paraId="40EC624D" w14:textId="77777777" w:rsidR="00935C54" w:rsidRPr="00935C54" w:rsidRDefault="00935C54" w:rsidP="00935C54">
      <w:pPr>
        <w:spacing w:line="276" w:lineRule="auto"/>
        <w:ind w:left="709" w:hanging="709"/>
        <w:jc w:val="both"/>
        <w:rPr>
          <w:rFonts w:ascii="Garamond" w:hAnsi="Garamond"/>
          <w:sz w:val="24"/>
          <w:szCs w:val="24"/>
          <w:lang w:val="ms"/>
        </w:rPr>
      </w:pPr>
    </w:p>
    <w:p w14:paraId="28A372E7" w14:textId="77777777" w:rsidR="00935C54" w:rsidRPr="00935C54" w:rsidRDefault="00935C54" w:rsidP="00935C54">
      <w:pPr>
        <w:spacing w:line="276" w:lineRule="auto"/>
        <w:jc w:val="both"/>
        <w:rPr>
          <w:rFonts w:ascii="Garamond" w:hAnsi="Garamond"/>
          <w:sz w:val="24"/>
          <w:szCs w:val="24"/>
          <w:lang w:val="ms"/>
        </w:rPr>
      </w:pPr>
    </w:p>
    <w:p w14:paraId="217BDCD0" w14:textId="77777777" w:rsidR="00935C54" w:rsidRPr="00935C54" w:rsidRDefault="00935C54" w:rsidP="00935C54">
      <w:pPr>
        <w:spacing w:line="276" w:lineRule="auto"/>
        <w:ind w:left="709" w:hanging="709"/>
        <w:jc w:val="both"/>
        <w:rPr>
          <w:rFonts w:ascii="Garamond" w:hAnsi="Garamond"/>
          <w:sz w:val="24"/>
          <w:szCs w:val="24"/>
          <w:lang w:val="ms"/>
        </w:rPr>
      </w:pPr>
      <w:r w:rsidRPr="00935C54">
        <w:rPr>
          <w:rFonts w:ascii="Garamond" w:hAnsi="Garamond"/>
          <w:sz w:val="24"/>
          <w:szCs w:val="24"/>
          <w:lang w:val="ms"/>
        </w:rPr>
        <w:lastRenderedPageBreak/>
        <w:t xml:space="preserve">Rasikhullah, A. N., &amp; Ahmad, L. T. (2023). Kontradiksi Mushaf Al-Quran Standar Indonesia Dari Penulisan Kaidah Imla Hamzah Al-Qath’i &amp; Al-Washli Pada Surah Al-Kahfi. </w:t>
      </w:r>
      <w:r w:rsidRPr="00935C54">
        <w:rPr>
          <w:rFonts w:ascii="Garamond" w:hAnsi="Garamond"/>
          <w:i/>
          <w:iCs/>
          <w:sz w:val="24"/>
          <w:szCs w:val="24"/>
          <w:lang w:val="ms"/>
        </w:rPr>
        <w:t>`A Jamiy</w:t>
      </w:r>
      <w:r w:rsidRPr="00935C54">
        <w:rPr>
          <w:rFonts w:ascii="Times New Roman" w:hAnsi="Times New Roman" w:cs="Times New Roman"/>
          <w:i/>
          <w:iCs/>
          <w:sz w:val="24"/>
          <w:szCs w:val="24"/>
          <w:lang w:val="ms"/>
        </w:rPr>
        <w:t> </w:t>
      </w:r>
      <w:r w:rsidRPr="00935C54">
        <w:rPr>
          <w:rFonts w:ascii="Garamond" w:hAnsi="Garamond"/>
          <w:i/>
          <w:iCs/>
          <w:sz w:val="24"/>
          <w:szCs w:val="24"/>
          <w:lang w:val="ms"/>
        </w:rPr>
        <w:t>: Jurnal Bahasa dan Sastra Arab</w:t>
      </w:r>
      <w:r w:rsidRPr="00935C54">
        <w:rPr>
          <w:rFonts w:ascii="Garamond" w:hAnsi="Garamond"/>
          <w:sz w:val="24"/>
          <w:szCs w:val="24"/>
          <w:lang w:val="ms"/>
        </w:rPr>
        <w:t xml:space="preserve">, </w:t>
      </w:r>
      <w:r w:rsidRPr="00935C54">
        <w:rPr>
          <w:rFonts w:ascii="Garamond" w:hAnsi="Garamond"/>
          <w:i/>
          <w:iCs/>
          <w:sz w:val="24"/>
          <w:szCs w:val="24"/>
          <w:lang w:val="ms"/>
        </w:rPr>
        <w:t>12</w:t>
      </w:r>
      <w:r w:rsidRPr="00935C54">
        <w:rPr>
          <w:rFonts w:ascii="Garamond" w:hAnsi="Garamond"/>
          <w:sz w:val="24"/>
          <w:szCs w:val="24"/>
          <w:lang w:val="ms"/>
        </w:rPr>
        <w:t>(2), 429. https://doi.org/10.31314/ajamiy.12.2.429-439.2023</w:t>
      </w:r>
    </w:p>
    <w:p w14:paraId="27D2E9B0" w14:textId="77777777" w:rsidR="00935C54" w:rsidRPr="00935C54" w:rsidRDefault="00935C54" w:rsidP="00935C54">
      <w:pPr>
        <w:spacing w:line="276" w:lineRule="auto"/>
        <w:ind w:left="709" w:hanging="709"/>
        <w:jc w:val="both"/>
        <w:rPr>
          <w:rFonts w:ascii="Garamond" w:hAnsi="Garamond"/>
          <w:sz w:val="24"/>
          <w:szCs w:val="24"/>
          <w:lang w:val="ms"/>
        </w:rPr>
      </w:pPr>
      <w:r w:rsidRPr="00935C54">
        <w:rPr>
          <w:rFonts w:ascii="Garamond" w:hAnsi="Garamond"/>
          <w:sz w:val="24"/>
          <w:szCs w:val="24"/>
          <w:lang w:val="ms"/>
        </w:rPr>
        <w:t xml:space="preserve">Salim, L. (2017). Sejarah Pertumbuha dan Perkembangan Bahasa Arab. </w:t>
      </w:r>
      <w:r w:rsidRPr="00935C54">
        <w:rPr>
          <w:rFonts w:ascii="Garamond" w:hAnsi="Garamond"/>
          <w:i/>
          <w:iCs/>
          <w:sz w:val="24"/>
          <w:szCs w:val="24"/>
          <w:lang w:val="ms"/>
        </w:rPr>
        <w:t>Diwan</w:t>
      </w:r>
      <w:r w:rsidRPr="00935C54">
        <w:rPr>
          <w:rFonts w:ascii="Times New Roman" w:hAnsi="Times New Roman" w:cs="Times New Roman"/>
          <w:i/>
          <w:iCs/>
          <w:sz w:val="24"/>
          <w:szCs w:val="24"/>
          <w:lang w:val="ms"/>
        </w:rPr>
        <w:t> </w:t>
      </w:r>
      <w:r w:rsidRPr="00935C54">
        <w:rPr>
          <w:rFonts w:ascii="Garamond" w:hAnsi="Garamond"/>
          <w:i/>
          <w:iCs/>
          <w:sz w:val="24"/>
          <w:szCs w:val="24"/>
          <w:lang w:val="ms"/>
        </w:rPr>
        <w:t>: Jurnal Bahasa dan Sastra Arab</w:t>
      </w:r>
      <w:r w:rsidRPr="00935C54">
        <w:rPr>
          <w:rFonts w:ascii="Garamond" w:hAnsi="Garamond"/>
          <w:sz w:val="24"/>
          <w:szCs w:val="24"/>
          <w:lang w:val="ms"/>
        </w:rPr>
        <w:t xml:space="preserve">, </w:t>
      </w:r>
      <w:r w:rsidRPr="00935C54">
        <w:rPr>
          <w:rFonts w:ascii="Garamond" w:hAnsi="Garamond"/>
          <w:i/>
          <w:iCs/>
          <w:sz w:val="24"/>
          <w:szCs w:val="24"/>
          <w:lang w:val="ms"/>
        </w:rPr>
        <w:t>3</w:t>
      </w:r>
      <w:r w:rsidRPr="00935C54">
        <w:rPr>
          <w:rFonts w:ascii="Garamond" w:hAnsi="Garamond"/>
          <w:sz w:val="24"/>
          <w:szCs w:val="24"/>
          <w:lang w:val="ms"/>
        </w:rPr>
        <w:t>(1), 77. https://doi.org/10.24252/diwan.v3i1.2928</w:t>
      </w:r>
    </w:p>
    <w:p w14:paraId="615BBB69" w14:textId="77777777" w:rsidR="00935C54" w:rsidRPr="00935C54" w:rsidRDefault="00935C54" w:rsidP="00935C54">
      <w:pPr>
        <w:spacing w:line="276" w:lineRule="auto"/>
        <w:ind w:left="709" w:hanging="709"/>
        <w:jc w:val="both"/>
        <w:rPr>
          <w:rFonts w:ascii="Garamond" w:hAnsi="Garamond"/>
          <w:sz w:val="24"/>
          <w:szCs w:val="24"/>
          <w:lang w:val="ms"/>
        </w:rPr>
      </w:pPr>
      <w:r w:rsidRPr="00935C54">
        <w:rPr>
          <w:rFonts w:ascii="Garamond" w:hAnsi="Garamond"/>
          <w:sz w:val="24"/>
          <w:szCs w:val="24"/>
          <w:lang w:val="ms"/>
        </w:rPr>
        <w:t xml:space="preserve">Taufik, S. Ag., M.A, T., S. Ag. ,. M. A. (2020). Mazhab-Mazhab Ilmu Nahwu Dalam Sastra Arab Klasik. </w:t>
      </w:r>
      <w:r w:rsidRPr="00935C54">
        <w:rPr>
          <w:rFonts w:ascii="Garamond" w:hAnsi="Garamond"/>
          <w:i/>
          <w:iCs/>
          <w:sz w:val="24"/>
          <w:szCs w:val="24"/>
          <w:lang w:val="ms"/>
        </w:rPr>
        <w:t>AL-AF’IDAH: Jurnal Pendidikan Bahasa Arab dan Pengajarannya</w:t>
      </w:r>
      <w:r w:rsidRPr="00935C54">
        <w:rPr>
          <w:rFonts w:ascii="Garamond" w:hAnsi="Garamond"/>
          <w:sz w:val="24"/>
          <w:szCs w:val="24"/>
          <w:lang w:val="ms"/>
        </w:rPr>
        <w:t xml:space="preserve">, </w:t>
      </w:r>
      <w:r w:rsidRPr="00935C54">
        <w:rPr>
          <w:rFonts w:ascii="Garamond" w:hAnsi="Garamond"/>
          <w:i/>
          <w:iCs/>
          <w:sz w:val="24"/>
          <w:szCs w:val="24"/>
          <w:lang w:val="ms"/>
        </w:rPr>
        <w:t>4</w:t>
      </w:r>
      <w:r w:rsidRPr="00935C54">
        <w:rPr>
          <w:rFonts w:ascii="Garamond" w:hAnsi="Garamond"/>
          <w:sz w:val="24"/>
          <w:szCs w:val="24"/>
          <w:lang w:val="ms"/>
        </w:rPr>
        <w:t>(1), 65–87. https://doi.org/10.52266/al-afidah.v4i1.498</w:t>
      </w:r>
    </w:p>
    <w:p w14:paraId="17318702" w14:textId="77777777" w:rsidR="00935C54" w:rsidRPr="00935C54" w:rsidRDefault="00935C54" w:rsidP="00935C54">
      <w:pPr>
        <w:spacing w:line="276" w:lineRule="auto"/>
        <w:ind w:left="709" w:hanging="709"/>
        <w:jc w:val="both"/>
        <w:rPr>
          <w:rFonts w:ascii="Garamond" w:hAnsi="Garamond"/>
          <w:sz w:val="24"/>
          <w:szCs w:val="24"/>
          <w:lang w:val="ms"/>
        </w:rPr>
      </w:pPr>
      <w:r w:rsidRPr="00935C54">
        <w:rPr>
          <w:rFonts w:ascii="Garamond" w:hAnsi="Garamond"/>
          <w:sz w:val="24"/>
          <w:szCs w:val="24"/>
          <w:lang w:val="ms"/>
        </w:rPr>
        <w:t xml:space="preserve">Zubaidillah, M. H. (2018). </w:t>
      </w:r>
      <w:r w:rsidRPr="00935C54">
        <w:rPr>
          <w:rFonts w:ascii="Garamond" w:hAnsi="Garamond"/>
          <w:i/>
          <w:iCs/>
          <w:sz w:val="24"/>
          <w:szCs w:val="24"/>
          <w:lang w:val="ms"/>
        </w:rPr>
        <w:t>Pengantar Ilmu Nahwu Belajar Bahasa Arab Sampai Bisa</w:t>
      </w:r>
      <w:r w:rsidRPr="00935C54">
        <w:rPr>
          <w:rFonts w:ascii="Garamond" w:hAnsi="Garamond"/>
          <w:sz w:val="24"/>
          <w:szCs w:val="24"/>
          <w:lang w:val="ms"/>
        </w:rPr>
        <w:t>. Open Science Framework. https://doi.org/10.31219/osf.io/gm5e7</w:t>
      </w:r>
    </w:p>
    <w:p w14:paraId="621525BA" w14:textId="77777777" w:rsidR="00935C54" w:rsidRPr="00935C54" w:rsidRDefault="00935C54" w:rsidP="00935C54">
      <w:pPr>
        <w:spacing w:line="276" w:lineRule="auto"/>
        <w:ind w:left="709" w:hanging="709"/>
        <w:jc w:val="both"/>
        <w:rPr>
          <w:rFonts w:ascii="Garamond" w:hAnsi="Garamond"/>
          <w:sz w:val="24"/>
          <w:szCs w:val="24"/>
          <w:lang w:val="ms"/>
        </w:rPr>
      </w:pPr>
      <w:r w:rsidRPr="00935C54">
        <w:rPr>
          <w:rFonts w:ascii="Garamond" w:hAnsi="Garamond"/>
          <w:sz w:val="24"/>
          <w:szCs w:val="24"/>
        </w:rPr>
        <w:fldChar w:fldCharType="end"/>
      </w:r>
    </w:p>
    <w:p w14:paraId="256D21AE" w14:textId="04B2420A" w:rsidR="00F26F68" w:rsidRDefault="00F26F68" w:rsidP="0085200C">
      <w:pPr>
        <w:spacing w:line="276" w:lineRule="auto"/>
        <w:ind w:left="709" w:hanging="709"/>
        <w:jc w:val="both"/>
        <w:rPr>
          <w:rFonts w:ascii="Garamond" w:hAnsi="Garamond"/>
          <w:sz w:val="24"/>
          <w:szCs w:val="24"/>
        </w:rPr>
      </w:pPr>
    </w:p>
    <w:sectPr w:rsidR="00F26F68" w:rsidSect="00752399">
      <w:footerReference w:type="default" r:id="rId15"/>
      <w:pgSz w:w="11907" w:h="16839" w:code="9"/>
      <w:pgMar w:top="680" w:right="1582" w:bottom="567" w:left="1582" w:header="720" w:footer="720" w:gutter="0"/>
      <w:pgNumType w:start="1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2FF4E" w14:textId="77777777" w:rsidR="00E57D12" w:rsidRDefault="00E57D12" w:rsidP="00962B34">
      <w:r>
        <w:separator/>
      </w:r>
    </w:p>
  </w:endnote>
  <w:endnote w:type="continuationSeparator" w:id="0">
    <w:p w14:paraId="7355DFB5" w14:textId="77777777" w:rsidR="00E57D12" w:rsidRDefault="00E57D12" w:rsidP="0096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eeSerif">
    <w:altName w:val="Times New Roman"/>
    <w:charset w:val="00"/>
    <w:family w:val="roman"/>
    <w:pitch w:val="variable"/>
  </w:font>
  <w:font w:name="Palladio Uralic">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5964"/>
      <w:docPartObj>
        <w:docPartGallery w:val="Page Numbers (Bottom of Page)"/>
        <w:docPartUnique/>
      </w:docPartObj>
    </w:sdtPr>
    <w:sdtEndPr>
      <w:rPr>
        <w:color w:val="7F7F7F" w:themeColor="background1" w:themeShade="7F"/>
        <w:spacing w:val="60"/>
      </w:rPr>
    </w:sdtEndPr>
    <w:sdtContent>
      <w:p w14:paraId="450772D8" w14:textId="77777777" w:rsidR="00962B34" w:rsidRPr="00962B34" w:rsidRDefault="00E57D12" w:rsidP="00962B34">
        <w:pPr>
          <w:pStyle w:val="Footer"/>
          <w:pBdr>
            <w:top w:val="single" w:sz="4" w:space="1" w:color="D9D9D9" w:themeColor="background1" w:themeShade="D9"/>
          </w:pBdr>
          <w:rPr>
            <w:b/>
          </w:rPr>
        </w:pPr>
        <w:r>
          <w:rPr>
            <w:rFonts w:ascii="Calibri" w:hAnsi="Calibri" w:cs="Calibri"/>
            <w:noProof/>
            <w:sz w:val="18"/>
            <w:szCs w:val="18"/>
          </w:rPr>
          <w:pict w14:anchorId="3F145113">
            <v:rect id="_x0000_s2050" style="position:absolute;margin-left:147.65pt;margin-top:1.5pt;width:297.45pt;height:30.65pt;z-index:251658240;mso-position-horizontal-relative:text;mso-position-vertical-relative:text" stroked="f">
              <v:textbox style="mso-next-textbox:#_x0000_s2050">
                <w:txbxContent>
                  <w:p w14:paraId="6109A7DA" w14:textId="04A1788D" w:rsidR="00962B34" w:rsidRPr="00962B34" w:rsidRDefault="00962B34" w:rsidP="00962B34">
                    <w:pPr>
                      <w:ind w:left="230" w:right="31"/>
                      <w:jc w:val="right"/>
                      <w:rPr>
                        <w:rFonts w:asciiTheme="minorHAnsi" w:hAnsiTheme="minorHAnsi" w:cstheme="minorHAnsi"/>
                        <w:b/>
                        <w:sz w:val="16"/>
                        <w:szCs w:val="16"/>
                      </w:rPr>
                    </w:pPr>
                    <w:r w:rsidRPr="00962B34">
                      <w:rPr>
                        <w:rFonts w:asciiTheme="minorHAnsi" w:hAnsiTheme="minorHAnsi" w:cstheme="minorHAnsi"/>
                        <w:b/>
                        <w:sz w:val="16"/>
                        <w:szCs w:val="16"/>
                      </w:rPr>
                      <w:t>Sirajuddin : Jurnal Penelitian dan Kajian Pendidikan Islam</w:t>
                    </w:r>
                    <w:r>
                      <w:rPr>
                        <w:rFonts w:asciiTheme="minorHAnsi" w:hAnsiTheme="minorHAnsi" w:cstheme="minorHAnsi"/>
                        <w:b/>
                        <w:sz w:val="16"/>
                        <w:szCs w:val="16"/>
                      </w:rPr>
                      <w:t xml:space="preserve"> </w:t>
                    </w:r>
                    <w:r w:rsidR="00752399">
                      <w:rPr>
                        <w:rFonts w:asciiTheme="minorHAnsi" w:hAnsiTheme="minorHAnsi" w:cstheme="minorHAnsi"/>
                        <w:sz w:val="16"/>
                        <w:szCs w:val="16"/>
                      </w:rPr>
                      <w:t>Vol. 04 No. 02</w:t>
                    </w:r>
                    <w:r w:rsidRPr="00962B34">
                      <w:rPr>
                        <w:rFonts w:asciiTheme="minorHAnsi" w:hAnsiTheme="minorHAnsi" w:cstheme="minorHAnsi"/>
                        <w:sz w:val="16"/>
                        <w:szCs w:val="16"/>
                      </w:rPr>
                      <w:t xml:space="preserve"> (20</w:t>
                    </w:r>
                    <w:r w:rsidR="00E54568">
                      <w:rPr>
                        <w:rFonts w:asciiTheme="minorHAnsi" w:hAnsiTheme="minorHAnsi" w:cstheme="minorHAnsi"/>
                        <w:sz w:val="16"/>
                        <w:szCs w:val="16"/>
                      </w:rPr>
                      <w:t>25</w:t>
                    </w:r>
                    <w:r w:rsidRPr="00962B34">
                      <w:rPr>
                        <w:rFonts w:asciiTheme="minorHAnsi" w:hAnsiTheme="minorHAnsi" w:cstheme="minorHAnsi"/>
                        <w:sz w:val="16"/>
                        <w:szCs w:val="16"/>
                      </w:rPr>
                      <w:t xml:space="preserve">) </w:t>
                    </w:r>
                  </w:p>
                  <w:p w14:paraId="4A794D7B" w14:textId="77777777" w:rsidR="00962B34" w:rsidRPr="003C2CE4" w:rsidRDefault="00962B34" w:rsidP="00962B34">
                    <w:pPr>
                      <w:ind w:right="31"/>
                      <w:jc w:val="right"/>
                      <w:rPr>
                        <w:rFonts w:asciiTheme="minorHAnsi" w:hAnsiTheme="minorHAnsi" w:cstheme="minorHAnsi"/>
                        <w:sz w:val="16"/>
                        <w:szCs w:val="16"/>
                      </w:rPr>
                    </w:pPr>
                    <w:r w:rsidRPr="003C2CE4">
                      <w:rPr>
                        <w:rFonts w:asciiTheme="minorHAnsi" w:hAnsiTheme="minorHAnsi" w:cstheme="minorHAnsi"/>
                        <w:w w:val="105"/>
                        <w:sz w:val="16"/>
                        <w:szCs w:val="16"/>
                      </w:rPr>
                      <w:t>Available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online</w:t>
                    </w:r>
                    <w:r w:rsidRPr="003C2CE4">
                      <w:rPr>
                        <w:rFonts w:asciiTheme="minorHAnsi" w:hAnsiTheme="minorHAnsi" w:cstheme="minorHAnsi"/>
                        <w:spacing w:val="-29"/>
                        <w:w w:val="105"/>
                        <w:sz w:val="16"/>
                        <w:szCs w:val="16"/>
                      </w:rPr>
                      <w:t xml:space="preserve"> </w:t>
                    </w:r>
                    <w:r w:rsidRPr="003C2CE4">
                      <w:rPr>
                        <w:rFonts w:asciiTheme="minorHAnsi" w:hAnsiTheme="minorHAnsi" w:cstheme="minorHAnsi"/>
                        <w:w w:val="105"/>
                        <w:sz w:val="16"/>
                        <w:szCs w:val="16"/>
                      </w:rPr>
                      <w:t>at</w:t>
                    </w:r>
                    <w:r w:rsidRPr="003C2CE4">
                      <w:rPr>
                        <w:rFonts w:asciiTheme="minorHAnsi" w:hAnsiTheme="minorHAnsi" w:cstheme="minorHAnsi"/>
                        <w:spacing w:val="-15"/>
                        <w:w w:val="105"/>
                        <w:sz w:val="16"/>
                        <w:szCs w:val="16"/>
                      </w:rPr>
                      <w:t xml:space="preserve"> </w:t>
                    </w:r>
                    <w:hyperlink r:id="rId1" w:history="1">
                      <w:r w:rsidR="003C2CE4" w:rsidRPr="003C2CE4">
                        <w:rPr>
                          <w:rStyle w:val="Hyperlink"/>
                          <w:rFonts w:asciiTheme="minorHAnsi" w:hAnsiTheme="minorHAnsi" w:cstheme="minorHAnsi"/>
                          <w:w w:val="110"/>
                          <w:sz w:val="16"/>
                          <w:szCs w:val="16"/>
                          <w:u w:color="0000FF"/>
                        </w:rPr>
                        <w:t>https://ejournal.stismu.ac.id/ojs/index.php/sirajuddin</w:t>
                      </w:r>
                    </w:hyperlink>
                  </w:p>
                </w:txbxContent>
              </v:textbox>
            </v:rect>
          </w:pict>
        </w:r>
        <w:r w:rsidR="00DE0AEB" w:rsidRPr="00962B34">
          <w:rPr>
            <w:rFonts w:ascii="Calibri" w:hAnsi="Calibri" w:cs="Calibri"/>
            <w:sz w:val="18"/>
            <w:szCs w:val="18"/>
          </w:rPr>
          <w:fldChar w:fldCharType="begin"/>
        </w:r>
        <w:r w:rsidR="00962B34" w:rsidRPr="00962B34">
          <w:rPr>
            <w:rFonts w:ascii="Calibri" w:hAnsi="Calibri" w:cs="Calibri"/>
            <w:sz w:val="18"/>
            <w:szCs w:val="18"/>
          </w:rPr>
          <w:instrText xml:space="preserve"> PAGE   \* MERGEFORMAT </w:instrText>
        </w:r>
        <w:r w:rsidR="00DE0AEB" w:rsidRPr="00962B34">
          <w:rPr>
            <w:rFonts w:ascii="Calibri" w:hAnsi="Calibri" w:cs="Calibri"/>
            <w:sz w:val="18"/>
            <w:szCs w:val="18"/>
          </w:rPr>
          <w:fldChar w:fldCharType="separate"/>
        </w:r>
        <w:r w:rsidR="00752399" w:rsidRPr="00752399">
          <w:rPr>
            <w:rFonts w:ascii="Calibri" w:hAnsi="Calibri" w:cs="Calibri"/>
            <w:b/>
            <w:noProof/>
            <w:sz w:val="18"/>
            <w:szCs w:val="18"/>
          </w:rPr>
          <w:t>19</w:t>
        </w:r>
        <w:r w:rsidR="00DE0AEB" w:rsidRPr="00962B34">
          <w:rPr>
            <w:rFonts w:ascii="Calibri" w:hAnsi="Calibri" w:cs="Calibri"/>
            <w:sz w:val="18"/>
            <w:szCs w:val="18"/>
          </w:rPr>
          <w:fldChar w:fldCharType="end"/>
        </w:r>
        <w:r w:rsidR="00962B34">
          <w:rPr>
            <w:b/>
          </w:rPr>
          <w:t xml:space="preserve"> |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58135" w14:textId="77777777" w:rsidR="00E57D12" w:rsidRDefault="00E57D12" w:rsidP="00962B34">
      <w:r>
        <w:separator/>
      </w:r>
    </w:p>
  </w:footnote>
  <w:footnote w:type="continuationSeparator" w:id="0">
    <w:p w14:paraId="688CD2E8" w14:textId="77777777" w:rsidR="00E57D12" w:rsidRDefault="00E57D12" w:rsidP="00962B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A179F"/>
    <w:multiLevelType w:val="hybridMultilevel"/>
    <w:tmpl w:val="CB68F7C0"/>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1C633D43"/>
    <w:multiLevelType w:val="hybridMultilevel"/>
    <w:tmpl w:val="D0EA2F66"/>
    <w:lvl w:ilvl="0" w:tplc="CCFA125C">
      <w:start w:val="1"/>
      <w:numFmt w:val="lowerLetter"/>
      <w:lvlText w:val="%1."/>
      <w:lvlJc w:val="left"/>
      <w:pPr>
        <w:ind w:left="1004" w:hanging="360"/>
      </w:pPr>
      <w:rPr>
        <w:rFonts w:cs="Times New Roman" w:hint="default"/>
      </w:rPr>
    </w:lvl>
    <w:lvl w:ilvl="1" w:tplc="04210019">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2">
    <w:nsid w:val="1C691664"/>
    <w:multiLevelType w:val="hybridMultilevel"/>
    <w:tmpl w:val="59347582"/>
    <w:lvl w:ilvl="0" w:tplc="95766A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3B3325A"/>
    <w:multiLevelType w:val="hybridMultilevel"/>
    <w:tmpl w:val="663C9E3A"/>
    <w:lvl w:ilvl="0" w:tplc="179AEB10">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280178DE"/>
    <w:multiLevelType w:val="hybridMultilevel"/>
    <w:tmpl w:val="47F4AA50"/>
    <w:lvl w:ilvl="0" w:tplc="65D64190">
      <w:start w:val="1"/>
      <w:numFmt w:val="lowerLetter"/>
      <w:lvlText w:val="%1."/>
      <w:lvlJc w:val="left"/>
      <w:pPr>
        <w:ind w:left="1854" w:hanging="360"/>
      </w:pPr>
      <w:rPr>
        <w:rFonts w:cs="Times New Roman"/>
        <w:b w:val="0"/>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5">
    <w:nsid w:val="31681075"/>
    <w:multiLevelType w:val="hybridMultilevel"/>
    <w:tmpl w:val="41E2DAA8"/>
    <w:lvl w:ilvl="0" w:tplc="0628AAAC">
      <w:start w:val="1"/>
      <w:numFmt w:val="lowerLetter"/>
      <w:lvlText w:val="%1."/>
      <w:lvlJc w:val="left"/>
      <w:pPr>
        <w:ind w:left="720" w:hanging="360"/>
      </w:pPr>
      <w:rPr>
        <w:rFonts w:asciiTheme="minorBidi" w:eastAsia="Times New Roman" w:hAnsiTheme="minorBidi"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1F66EAE"/>
    <w:multiLevelType w:val="hybridMultilevel"/>
    <w:tmpl w:val="D94CBB18"/>
    <w:lvl w:ilvl="0" w:tplc="C6EAB67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33FA2967"/>
    <w:multiLevelType w:val="hybridMultilevel"/>
    <w:tmpl w:val="46E2BB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82C26F8"/>
    <w:multiLevelType w:val="hybridMultilevel"/>
    <w:tmpl w:val="1A187150"/>
    <w:lvl w:ilvl="0" w:tplc="83A49164">
      <w:start w:val="1"/>
      <w:numFmt w:val="lowerLetter"/>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9">
    <w:nsid w:val="3EEE610F"/>
    <w:multiLevelType w:val="hybridMultilevel"/>
    <w:tmpl w:val="368ABC50"/>
    <w:lvl w:ilvl="0" w:tplc="C9D0EDA0">
      <w:start w:val="1"/>
      <w:numFmt w:val="lowerLetter"/>
      <w:lvlText w:val="%1."/>
      <w:lvlJc w:val="left"/>
      <w:pPr>
        <w:ind w:left="720" w:hanging="360"/>
      </w:pPr>
      <w:rPr>
        <w:rFonts w:ascii="Garamond" w:eastAsia="Times New Roman" w:hAnsi="Garamond"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5BBB6B4A"/>
    <w:multiLevelType w:val="hybridMultilevel"/>
    <w:tmpl w:val="214E1EB2"/>
    <w:lvl w:ilvl="0" w:tplc="65C236C2">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1">
    <w:nsid w:val="5C752D33"/>
    <w:multiLevelType w:val="hybridMultilevel"/>
    <w:tmpl w:val="C142A79E"/>
    <w:lvl w:ilvl="0" w:tplc="C1D22160">
      <w:start w:val="1"/>
      <w:numFmt w:val="decimal"/>
      <w:lvlText w:val="%1)"/>
      <w:lvlJc w:val="left"/>
      <w:pPr>
        <w:ind w:left="1800" w:hanging="360"/>
      </w:pPr>
      <w:rPr>
        <w:rFonts w:ascii="Garamond" w:eastAsia="Times New Roman" w:hAnsi="Garamond"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6B667A5E"/>
    <w:multiLevelType w:val="hybridMultilevel"/>
    <w:tmpl w:val="7F78A02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ED41A80"/>
    <w:multiLevelType w:val="hybridMultilevel"/>
    <w:tmpl w:val="50A8ACB6"/>
    <w:lvl w:ilvl="0" w:tplc="EB829F6A">
      <w:start w:val="1"/>
      <w:numFmt w:val="lowerLetter"/>
      <w:lvlText w:val="%1."/>
      <w:lvlJc w:val="left"/>
      <w:pPr>
        <w:ind w:left="1004" w:hanging="360"/>
      </w:pPr>
      <w:rPr>
        <w:rFonts w:cs="Times New Roman" w:hint="default"/>
        <w:b w:val="0"/>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4">
    <w:nsid w:val="6ED5212E"/>
    <w:multiLevelType w:val="hybridMultilevel"/>
    <w:tmpl w:val="98A210B2"/>
    <w:lvl w:ilvl="0" w:tplc="A4B06134">
      <w:start w:val="1"/>
      <w:numFmt w:val="lowerLetter"/>
      <w:lvlText w:val="%1."/>
      <w:lvlJc w:val="left"/>
      <w:pPr>
        <w:ind w:left="1004" w:hanging="360"/>
      </w:pPr>
      <w:rPr>
        <w:rFonts w:cs="Times New Roman" w:hint="default"/>
      </w:rPr>
    </w:lvl>
    <w:lvl w:ilvl="1" w:tplc="04210019" w:tentative="1">
      <w:start w:val="1"/>
      <w:numFmt w:val="lowerLetter"/>
      <w:lvlText w:val="%2."/>
      <w:lvlJc w:val="left"/>
      <w:pPr>
        <w:ind w:left="1724" w:hanging="360"/>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num w:numId="1">
    <w:abstractNumId w:val="2"/>
  </w:num>
  <w:num w:numId="2">
    <w:abstractNumId w:val="1"/>
  </w:num>
  <w:num w:numId="3">
    <w:abstractNumId w:val="14"/>
  </w:num>
  <w:num w:numId="4">
    <w:abstractNumId w:val="11"/>
  </w:num>
  <w:num w:numId="5">
    <w:abstractNumId w:val="13"/>
  </w:num>
  <w:num w:numId="6">
    <w:abstractNumId w:val="12"/>
  </w:num>
  <w:num w:numId="7">
    <w:abstractNumId w:val="8"/>
  </w:num>
  <w:num w:numId="8">
    <w:abstractNumId w:val="4"/>
  </w:num>
  <w:num w:numId="9">
    <w:abstractNumId w:val="9"/>
  </w:num>
  <w:num w:numId="10">
    <w:abstractNumId w:val="6"/>
  </w:num>
  <w:num w:numId="11">
    <w:abstractNumId w:val="3"/>
  </w:num>
  <w:num w:numId="12">
    <w:abstractNumId w:val="10"/>
  </w:num>
  <w:num w:numId="13">
    <w:abstractNumId w:val="7"/>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62B34"/>
    <w:rsid w:val="000011DE"/>
    <w:rsid w:val="00067920"/>
    <w:rsid w:val="00115D85"/>
    <w:rsid w:val="00192850"/>
    <w:rsid w:val="002E4E4B"/>
    <w:rsid w:val="002E7571"/>
    <w:rsid w:val="002F0A3A"/>
    <w:rsid w:val="003478EF"/>
    <w:rsid w:val="003C2CE4"/>
    <w:rsid w:val="00580CC4"/>
    <w:rsid w:val="005E4E1C"/>
    <w:rsid w:val="00663919"/>
    <w:rsid w:val="006749DD"/>
    <w:rsid w:val="0068778C"/>
    <w:rsid w:val="00752399"/>
    <w:rsid w:val="0085200C"/>
    <w:rsid w:val="008A142F"/>
    <w:rsid w:val="00935C54"/>
    <w:rsid w:val="00962B34"/>
    <w:rsid w:val="009F0AA7"/>
    <w:rsid w:val="00A50C32"/>
    <w:rsid w:val="00B94D36"/>
    <w:rsid w:val="00D1132C"/>
    <w:rsid w:val="00D96B67"/>
    <w:rsid w:val="00DE0AEB"/>
    <w:rsid w:val="00E54568"/>
    <w:rsid w:val="00E57D12"/>
    <w:rsid w:val="00E8011F"/>
    <w:rsid w:val="00EA7438"/>
    <w:rsid w:val="00ED0786"/>
    <w:rsid w:val="00F26F68"/>
    <w:rsid w:val="00F37D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A22C510"/>
  <w15:docId w15:val="{A09740C4-5A63-4584-BB37-74B39524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62B34"/>
    <w:pPr>
      <w:widowControl w:val="0"/>
      <w:autoSpaceDE w:val="0"/>
      <w:autoSpaceDN w:val="0"/>
      <w:spacing w:after="0" w:line="240" w:lineRule="auto"/>
    </w:pPr>
    <w:rPr>
      <w:rFonts w:ascii="FreeSerif" w:eastAsia="FreeSerif" w:hAnsi="FreeSerif" w:cs="FreeSerif"/>
    </w:rPr>
  </w:style>
  <w:style w:type="paragraph" w:styleId="Heading1">
    <w:name w:val="heading 1"/>
    <w:basedOn w:val="Normal"/>
    <w:link w:val="Heading1Char"/>
    <w:uiPriority w:val="1"/>
    <w:qFormat/>
    <w:rsid w:val="00962B34"/>
    <w:pPr>
      <w:ind w:left="120"/>
      <w:jc w:val="both"/>
      <w:outlineLvl w:val="0"/>
    </w:pPr>
    <w:rPr>
      <w:rFonts w:ascii="Palladio Uralic" w:eastAsia="Palladio Uralic" w:hAnsi="Palladio Uralic" w:cs="Palladio Uralic"/>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62B34"/>
    <w:rPr>
      <w:rFonts w:ascii="Palladio Uralic" w:eastAsia="Palladio Uralic" w:hAnsi="Palladio Uralic" w:cs="Palladio Uralic"/>
      <w:b/>
      <w:bCs/>
      <w:sz w:val="24"/>
      <w:szCs w:val="24"/>
    </w:rPr>
  </w:style>
  <w:style w:type="paragraph" w:styleId="BodyText">
    <w:name w:val="Body Text"/>
    <w:basedOn w:val="Normal"/>
    <w:link w:val="BodyTextChar"/>
    <w:uiPriority w:val="1"/>
    <w:qFormat/>
    <w:rsid w:val="00962B34"/>
    <w:pPr>
      <w:ind w:left="120"/>
      <w:jc w:val="both"/>
    </w:pPr>
    <w:rPr>
      <w:sz w:val="24"/>
      <w:szCs w:val="24"/>
    </w:rPr>
  </w:style>
  <w:style w:type="character" w:customStyle="1" w:styleId="BodyTextChar">
    <w:name w:val="Body Text Char"/>
    <w:basedOn w:val="DefaultParagraphFont"/>
    <w:link w:val="BodyText"/>
    <w:uiPriority w:val="1"/>
    <w:rsid w:val="00962B34"/>
    <w:rPr>
      <w:rFonts w:ascii="FreeSerif" w:eastAsia="FreeSerif" w:hAnsi="FreeSerif" w:cs="FreeSerif"/>
      <w:sz w:val="24"/>
      <w:szCs w:val="24"/>
    </w:rPr>
  </w:style>
  <w:style w:type="paragraph" w:styleId="ListParagraph">
    <w:name w:val="List Paragraph"/>
    <w:aliases w:val="Body of text,sub-section,List Paragraph1,Medium Grid 1 - Accent 21,Body of text+1,Body of text+2,Body of text+3,List Paragraph11,Sub sub,rpp3,dot points body text 12,Body of textCxSp,Colorful List - Accent 11,Normal1"/>
    <w:basedOn w:val="Normal"/>
    <w:link w:val="ListParagraphChar"/>
    <w:uiPriority w:val="34"/>
    <w:qFormat/>
    <w:rsid w:val="00962B34"/>
  </w:style>
  <w:style w:type="paragraph" w:customStyle="1" w:styleId="TableParagraph">
    <w:name w:val="Table Paragraph"/>
    <w:basedOn w:val="Normal"/>
    <w:uiPriority w:val="1"/>
    <w:qFormat/>
    <w:rsid w:val="00962B34"/>
    <w:pPr>
      <w:spacing w:before="15" w:line="215" w:lineRule="exact"/>
      <w:ind w:left="-2"/>
    </w:pPr>
  </w:style>
  <w:style w:type="character" w:styleId="Hyperlink">
    <w:name w:val="Hyperlink"/>
    <w:basedOn w:val="DefaultParagraphFont"/>
    <w:uiPriority w:val="99"/>
    <w:unhideWhenUsed/>
    <w:rsid w:val="00962B34"/>
    <w:rPr>
      <w:color w:val="0000FF" w:themeColor="hyperlink"/>
      <w:u w:val="single"/>
    </w:rPr>
  </w:style>
  <w:style w:type="character" w:customStyle="1" w:styleId="ListParagraphChar">
    <w:name w:val="List Paragraph Char"/>
    <w:aliases w:val="Body of text Char,sub-section Char,List Paragraph1 Char,Medium Grid 1 - Accent 21 Char,Body of text+1 Char,Body of text+2 Char,Body of text+3 Char,List Paragraph11 Char,Sub sub Char,rpp3 Char,dot points body text 12 Char,Normal1 Char"/>
    <w:link w:val="ListParagraph"/>
    <w:uiPriority w:val="34"/>
    <w:qFormat/>
    <w:locked/>
    <w:rsid w:val="00962B34"/>
    <w:rPr>
      <w:rFonts w:ascii="FreeSerif" w:eastAsia="FreeSerif" w:hAnsi="FreeSerif" w:cs="FreeSerif"/>
    </w:rPr>
  </w:style>
  <w:style w:type="paragraph" w:styleId="BalloonText">
    <w:name w:val="Balloon Text"/>
    <w:basedOn w:val="Normal"/>
    <w:link w:val="BalloonTextChar"/>
    <w:uiPriority w:val="99"/>
    <w:semiHidden/>
    <w:unhideWhenUsed/>
    <w:rsid w:val="00962B34"/>
    <w:rPr>
      <w:rFonts w:ascii="Tahoma" w:hAnsi="Tahoma" w:cs="Tahoma"/>
      <w:sz w:val="16"/>
      <w:szCs w:val="16"/>
    </w:rPr>
  </w:style>
  <w:style w:type="character" w:customStyle="1" w:styleId="BalloonTextChar">
    <w:name w:val="Balloon Text Char"/>
    <w:basedOn w:val="DefaultParagraphFont"/>
    <w:link w:val="BalloonText"/>
    <w:uiPriority w:val="99"/>
    <w:semiHidden/>
    <w:rsid w:val="00962B34"/>
    <w:rPr>
      <w:rFonts w:ascii="Tahoma" w:eastAsia="FreeSerif" w:hAnsi="Tahoma" w:cs="Tahoma"/>
      <w:sz w:val="16"/>
      <w:szCs w:val="16"/>
    </w:rPr>
  </w:style>
  <w:style w:type="paragraph" w:styleId="Header">
    <w:name w:val="header"/>
    <w:basedOn w:val="Normal"/>
    <w:link w:val="HeaderChar"/>
    <w:uiPriority w:val="99"/>
    <w:unhideWhenUsed/>
    <w:rsid w:val="00962B34"/>
    <w:pPr>
      <w:tabs>
        <w:tab w:val="center" w:pos="4680"/>
        <w:tab w:val="right" w:pos="9360"/>
      </w:tabs>
    </w:pPr>
  </w:style>
  <w:style w:type="character" w:customStyle="1" w:styleId="HeaderChar">
    <w:name w:val="Header Char"/>
    <w:basedOn w:val="DefaultParagraphFont"/>
    <w:link w:val="Header"/>
    <w:uiPriority w:val="99"/>
    <w:rsid w:val="00962B34"/>
    <w:rPr>
      <w:rFonts w:ascii="FreeSerif" w:eastAsia="FreeSerif" w:hAnsi="FreeSerif" w:cs="FreeSerif"/>
    </w:rPr>
  </w:style>
  <w:style w:type="paragraph" w:styleId="Footer">
    <w:name w:val="footer"/>
    <w:basedOn w:val="Normal"/>
    <w:link w:val="FooterChar"/>
    <w:uiPriority w:val="99"/>
    <w:unhideWhenUsed/>
    <w:rsid w:val="00962B34"/>
    <w:pPr>
      <w:tabs>
        <w:tab w:val="center" w:pos="4680"/>
        <w:tab w:val="right" w:pos="9360"/>
      </w:tabs>
    </w:pPr>
  </w:style>
  <w:style w:type="character" w:customStyle="1" w:styleId="FooterChar">
    <w:name w:val="Footer Char"/>
    <w:basedOn w:val="DefaultParagraphFont"/>
    <w:link w:val="Footer"/>
    <w:uiPriority w:val="99"/>
    <w:rsid w:val="00962B34"/>
    <w:rPr>
      <w:rFonts w:ascii="FreeSerif" w:eastAsia="FreeSerif" w:hAnsi="FreeSerif" w:cs="FreeSerif"/>
    </w:rPr>
  </w:style>
  <w:style w:type="paragraph" w:styleId="FootnoteText">
    <w:name w:val="footnote text"/>
    <w:basedOn w:val="Normal"/>
    <w:link w:val="FootnoteTextChar"/>
    <w:uiPriority w:val="99"/>
    <w:unhideWhenUsed/>
    <w:rsid w:val="00962B34"/>
    <w:pPr>
      <w:widowControl/>
      <w:autoSpaceDE/>
      <w:autoSpaceDN/>
    </w:pPr>
    <w:rPr>
      <w:rFonts w:asciiTheme="minorHAnsi" w:eastAsia="Times New Roman" w:hAnsiTheme="minorHAnsi" w:cs="Arial"/>
      <w:sz w:val="20"/>
      <w:szCs w:val="20"/>
      <w:lang w:val="id-ID"/>
    </w:rPr>
  </w:style>
  <w:style w:type="character" w:customStyle="1" w:styleId="FootnoteTextChar">
    <w:name w:val="Footnote Text Char"/>
    <w:basedOn w:val="DefaultParagraphFont"/>
    <w:link w:val="FootnoteText"/>
    <w:uiPriority w:val="99"/>
    <w:rsid w:val="00962B34"/>
    <w:rPr>
      <w:rFonts w:eastAsia="Times New Roman" w:cs="Arial"/>
      <w:sz w:val="20"/>
      <w:szCs w:val="20"/>
      <w:lang w:val="id-ID"/>
    </w:rPr>
  </w:style>
  <w:style w:type="character" w:styleId="FootnoteReference">
    <w:name w:val="footnote reference"/>
    <w:basedOn w:val="DefaultParagraphFont"/>
    <w:uiPriority w:val="99"/>
    <w:semiHidden/>
    <w:unhideWhenUsed/>
    <w:rsid w:val="00962B34"/>
    <w:rPr>
      <w:rFonts w:cs="Times New Roman"/>
      <w:vertAlign w:val="superscript"/>
    </w:rPr>
  </w:style>
  <w:style w:type="paragraph" w:styleId="DocumentMap">
    <w:name w:val="Document Map"/>
    <w:basedOn w:val="Normal"/>
    <w:link w:val="DocumentMapChar"/>
    <w:uiPriority w:val="99"/>
    <w:semiHidden/>
    <w:unhideWhenUsed/>
    <w:rsid w:val="00F26F68"/>
    <w:rPr>
      <w:rFonts w:ascii="Tahoma" w:hAnsi="Tahoma" w:cs="Tahoma"/>
      <w:sz w:val="16"/>
      <w:szCs w:val="16"/>
    </w:rPr>
  </w:style>
  <w:style w:type="character" w:customStyle="1" w:styleId="DocumentMapChar">
    <w:name w:val="Document Map Char"/>
    <w:basedOn w:val="DefaultParagraphFont"/>
    <w:link w:val="DocumentMap"/>
    <w:uiPriority w:val="99"/>
    <w:semiHidden/>
    <w:rsid w:val="00F26F68"/>
    <w:rPr>
      <w:rFonts w:ascii="Tahoma" w:eastAsia="FreeSerif" w:hAnsi="Tahoma" w:cs="Tahoma"/>
      <w:sz w:val="16"/>
      <w:szCs w:val="16"/>
    </w:rPr>
  </w:style>
  <w:style w:type="character" w:customStyle="1" w:styleId="UnresolvedMention">
    <w:name w:val="Unresolved Mention"/>
    <w:basedOn w:val="DefaultParagraphFont"/>
    <w:uiPriority w:val="99"/>
    <w:semiHidden/>
    <w:unhideWhenUsed/>
    <w:rsid w:val="00D1132C"/>
    <w:rPr>
      <w:color w:val="605E5C"/>
      <w:shd w:val="clear" w:color="auto" w:fill="E1DFDD"/>
    </w:rPr>
  </w:style>
  <w:style w:type="paragraph" w:styleId="NormalWeb">
    <w:name w:val="Normal (Web)"/>
    <w:basedOn w:val="Normal"/>
    <w:uiPriority w:val="99"/>
    <w:semiHidden/>
    <w:unhideWhenUsed/>
    <w:rsid w:val="002F0A3A"/>
    <w:rPr>
      <w:rFonts w:ascii="Times New Roman" w:hAnsi="Times New Roman" w:cs="Times New Roman"/>
      <w:sz w:val="24"/>
      <w:szCs w:val="24"/>
    </w:rPr>
  </w:style>
  <w:style w:type="table" w:customStyle="1" w:styleId="TableGrid1">
    <w:name w:val="Table Grid1"/>
    <w:basedOn w:val="TableNormal"/>
    <w:next w:val="TableGrid"/>
    <w:uiPriority w:val="59"/>
    <w:rsid w:val="002F0A3A"/>
    <w:pPr>
      <w:spacing w:after="0" w:line="240" w:lineRule="auto"/>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2F0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ultanoji65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hmadaliudin523@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hattila13@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journal.stismu.ac.id/ojs/index.php/sirajuddin" TargetMode="External"/><Relationship Id="rId14" Type="http://schemas.openxmlformats.org/officeDocument/2006/relationships/hyperlink" Target="mailto:candraagus1808@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journal.stismu.ac.id/ojs/index.php/sirajudd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5E12F-52F2-4540-A24D-DF4BF8CC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8201</Words>
  <Characters>46751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account</cp:lastModifiedBy>
  <cp:revision>9</cp:revision>
  <dcterms:created xsi:type="dcterms:W3CDTF">2022-06-27T14:17:00Z</dcterms:created>
  <dcterms:modified xsi:type="dcterms:W3CDTF">2025-07-04T22:18:00Z</dcterms:modified>
</cp:coreProperties>
</file>